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zh-CN"/>
        </w:rPr>
        <w:t>高新区</w:t>
      </w:r>
      <w:r>
        <w:rPr>
          <w:rFonts w:hint="eastAsia" w:ascii="宋体" w:hAnsi="宋体" w:cs="宋体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zh-CN"/>
        </w:rPr>
        <w:t>年政府信息公开年度报告</w:t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根据《中华人民共和国政府信息公开条例》（以下简称《条例》）、国务院办公厅政府信息与政务公开办公室《关于政府信息公开工作年度报告有关事项的通知》（国办公开办函﹝20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﹞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号）和市委、市政府安排部署，编制完成梅河口市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高新区2022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年政府信息公开工作年度报告。本次年度报告由总体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情况、主动公开政府信息情况、收到和处理政府信息公开申请情况、政府信息公开行政复议及行政诉讼情况、存在的主要问题及改进情况、其他需要报告的事项等六个部分组成。所列数据统计时限为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年1月1日至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12月31日。报告电子版可在梅河口市人民政府网(www.mhk.gov.cn)政府信息公开专栏下载，欢迎社会各界进行监督和提出意见。公众如需进一步咨询了解相关信息，请与梅河口高新区联系，地址：梅河口市康美大道555号；电话：0435-4810060；邮编：135000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年，高新区信息公开工作紧紧围绕市委、市政府决策部署，结合转变政府职能、简政放权、积极回应社会关切、创优发展环境的工作实际，按照《条例》的要求，着力推进政务服务标准化和重大项目、环保督察、预决算等重点领域信息公开，进一步规范依申请公开受理与答复，加强高新区门户网站平台建设，及时、准确、全面、安全、合法公开政府信息。把公开透明的要求贯穿于政务服务各个环节，以公开促进政务服务水平的提高，主动回应社会关切，保障社会公众知情权，提升政府公信力，助力全区经济社会发展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稳步推进监督保障工作落地落实。以加强网站建设为载体，切实加强政务公开平台建设。制定下发了一系列制度规定，规范门户网站公开内容的保障措施。下发了《开发区建立和完善信息报送工作制度的通知》，切实加强了全区相关办局信息审核、发布及监管工作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积极推动政府信息主动公开。依托梅河口市人民政府门户网站这一政务公开平台，及时公开综合政务、决算预算、政府采购等内容，增强重点领域政务公开实效。积极主动公开的政府信息，各栏目都得到了及时准确的更新。各部门各负其责、密切合作，较好地完成了信息公开推进工作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（三）认真规范处理依申请公开。严格按照政府信息公开工作规范来处理依申请公开，主动回应社会关切，积极回应、解疑释惑，实现了处理依申请公开的规范化、制度化。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（四）不断完善政府信息公开平台建设。严格按照省政府、市政府对政府信息公开工作的新要求、新部署，健全体制机制，完善制度措施，强化政府信息公开平台内容保障，信息公开工作基础得到进一步加强。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五）全力做好基础性工作。为了推进政府信息公开工作的顺利进展，认真做好政府信息公开的各项工作，积极参加上级行政机关组织的各项业务学习，使工作人员深刻领会《条例》实施的重大意义，进一步熟悉了解《条例》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2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本年制发件数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本年废止件数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规章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行政规范性文件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行政许可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行政处罚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行政强制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行政事业性收费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三、收到和处理政府信息公开申请情况</w:t>
      </w:r>
    </w:p>
    <w:tbl>
      <w:tblPr>
        <w:tblStyle w:val="2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757"/>
        <w:gridCol w:w="552"/>
        <w:gridCol w:w="630"/>
        <w:gridCol w:w="630"/>
        <w:gridCol w:w="628"/>
        <w:gridCol w:w="839"/>
        <w:gridCol w:w="7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18" w:firstLineChars="1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color w:val="C00000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color w:val="C00000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C00000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C00000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1.属于国家秘密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2.其他法律行政法规禁止公开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4.保护第三方合法权益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5.属于三类内容事务信息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6.属于四类过程性信息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7.属于行政执法案卷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8.属于行政查询事项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1.本机关不掌握相关政府信息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2.没有现成信息需要另行制作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3.补正后申请内容仍不明确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1.信访举报投诉类申请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3.要求提供公开出版物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4.无正当理由大量反复申请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3.其他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C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C00000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b/>
                <w:bCs/>
                <w:color w:val="C00000"/>
                <w:lang w:val="en-US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C00000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595"/>
        <w:gridCol w:w="595"/>
        <w:gridCol w:w="462"/>
        <w:gridCol w:w="593"/>
        <w:gridCol w:w="593"/>
        <w:gridCol w:w="595"/>
        <w:gridCol w:w="595"/>
        <w:gridCol w:w="462"/>
        <w:gridCol w:w="595"/>
        <w:gridCol w:w="595"/>
        <w:gridCol w:w="595"/>
        <w:gridCol w:w="595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95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高新区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政府信息公开工作上取得了一些成绩，但仍存在一些不足。一是对政务公开工作新形势还存在着认识不足、贯彻落实不够到位，政策解读方式不够丰富新颖的问题。二是对主动公开或更新的信息，存在部分信息公开不及时，专业内容还不够规范的问题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下一步，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高新区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将从以下几个方面改进：一是进一步加强学习，掌握政务公开工作的新要求、新提法和新概念，把握政务公开工作规律，提高工作的积极性和主动性。二是进一步提升服务水平，开展经常性的政务公开培训，增强政务公开意识，提高信息发布、政策解读、关切回应的能力。三是进一步提升网站管理水平。结合工作实际，除因涉密或敏感性较强的事项不能公开外，做到应公开尽公开，能公开及时公开。　　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六、其他需要报告的事项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无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WY4Nzg4NWEwZTgyNjNkMTRjYzkxMzI3ZWJlM2MifQ=="/>
  </w:docVars>
  <w:rsids>
    <w:rsidRoot w:val="48A412D0"/>
    <w:rsid w:val="08D51F6C"/>
    <w:rsid w:val="2C7A293F"/>
    <w:rsid w:val="48A412D0"/>
    <w:rsid w:val="55675E4D"/>
    <w:rsid w:val="7C6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2175</Words>
  <Characters>2255</Characters>
  <Lines>0</Lines>
  <Paragraphs>0</Paragraphs>
  <TotalTime>5</TotalTime>
  <ScaleCrop>false</ScaleCrop>
  <LinksUpToDate>false</LinksUpToDate>
  <CharactersWithSpaces>2265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2022-01-19T00:45:00Z</dcterms:created>
  <dc:creator>钟詩慧</dc:creator>
  <cp:lastModifiedBy>钟詩慧</cp:lastModifiedBy>
  <cp:lastPrinted>2022-01-19T05:43:00Z</cp:lastPrinted>
  <dcterms:modified xsi:type="dcterms:W3CDTF">2023-01-12T02:59:39Z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CBE46D868810450DB35DF04FBBCC3391</vt:lpwstr>
  </property>
</Properties>
</file>