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543"/>
        </w:tabs>
        <w:spacing w:before="150" w:line="219" w:lineRule="auto"/>
        <w:jc w:val="both"/>
        <w:rPr>
          <w:rFonts w:hint="default" w:ascii="方正小标宋_GBK" w:hAnsi="方正小标宋_GBK" w:eastAsia="方正小标宋_GBK" w:cs="方正小标宋_GBK"/>
          <w:b w:val="0"/>
          <w:bCs w:val="0"/>
          <w:snapToGrid/>
          <w:spacing w:val="0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napToGrid/>
          <w:spacing w:val="0"/>
          <w:sz w:val="32"/>
          <w:szCs w:val="32"/>
          <w:lang w:val="en-US" w:eastAsia="zh-CN"/>
        </w:rPr>
        <w:t>附件</w:t>
      </w:r>
    </w:p>
    <w:p>
      <w:pPr>
        <w:tabs>
          <w:tab w:val="left" w:pos="1543"/>
        </w:tabs>
        <w:spacing w:before="150" w:line="219" w:lineRule="auto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napToGrid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napToGrid/>
          <w:spacing w:val="0"/>
          <w:sz w:val="44"/>
          <w:szCs w:val="44"/>
          <w:lang w:val="en-US" w:eastAsia="zh-CN"/>
        </w:rPr>
        <w:t>2025</w:t>
      </w:r>
      <w:r>
        <w:rPr>
          <w:rFonts w:hint="eastAsia" w:ascii="方正小标宋_GBK" w:hAnsi="方正小标宋_GBK" w:eastAsia="方正小标宋_GBK" w:cs="方正小标宋_GBK"/>
          <w:b w:val="0"/>
          <w:bCs w:val="0"/>
          <w:snapToGrid/>
          <w:spacing w:val="0"/>
          <w:sz w:val="44"/>
          <w:szCs w:val="44"/>
        </w:rPr>
        <w:t>年度</w:t>
      </w:r>
      <w:r>
        <w:rPr>
          <w:rFonts w:hint="eastAsia" w:ascii="方正小标宋_GBK" w:hAnsi="方正小标宋_GBK" w:eastAsia="方正小标宋_GBK" w:cs="方正小标宋_GBK"/>
          <w:b w:val="0"/>
          <w:bCs w:val="0"/>
          <w:snapToGrid/>
          <w:spacing w:val="0"/>
          <w:sz w:val="44"/>
          <w:szCs w:val="44"/>
          <w:lang w:val="en-US" w:eastAsia="zh-CN"/>
        </w:rPr>
        <w:t>市政府</w:t>
      </w:r>
      <w:r>
        <w:rPr>
          <w:rFonts w:hint="eastAsia" w:ascii="方正小标宋_GBK" w:hAnsi="方正小标宋_GBK" w:eastAsia="方正小标宋_GBK" w:cs="方正小标宋_GBK"/>
          <w:b w:val="0"/>
          <w:bCs w:val="0"/>
          <w:snapToGrid/>
          <w:spacing w:val="0"/>
          <w:sz w:val="44"/>
          <w:szCs w:val="44"/>
        </w:rPr>
        <w:t>重大行政决策事项征集单</w:t>
      </w:r>
    </w:p>
    <w:p>
      <w:pPr>
        <w:keepNext w:val="0"/>
        <w:keepLines w:val="0"/>
        <w:pageBreakBefore w:val="0"/>
        <w:widowControl w:val="0"/>
        <w:tabs>
          <w:tab w:val="left" w:pos="15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snapToGrid/>
          <w:spacing w:val="0"/>
          <w:sz w:val="44"/>
          <w:szCs w:val="44"/>
        </w:rPr>
      </w:pPr>
    </w:p>
    <w:p>
      <w:pPr>
        <w:tabs>
          <w:tab w:val="left" w:pos="1543"/>
        </w:tabs>
        <w:spacing w:before="150" w:line="219" w:lineRule="auto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pacing w:val="-5"/>
          <w:sz w:val="28"/>
          <w:szCs w:val="28"/>
        </w:rPr>
        <w:t>填报单位：</w:t>
      </w:r>
      <w:r>
        <w:rPr>
          <w:rFonts w:hint="eastAsia" w:ascii="方正仿宋_GBK" w:hAnsi="方正仿宋_GBK" w:eastAsia="方正仿宋_GBK" w:cs="方正仿宋_GBK"/>
          <w:spacing w:val="6"/>
          <w:sz w:val="28"/>
          <w:szCs w:val="28"/>
        </w:rPr>
        <w:t xml:space="preserve">     </w:t>
      </w:r>
      <w:r>
        <w:rPr>
          <w:rFonts w:hint="eastAsia" w:ascii="方正仿宋_GBK" w:hAnsi="方正仿宋_GBK" w:eastAsia="方正仿宋_GBK" w:cs="方正仿宋_GBK"/>
          <w:spacing w:val="6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spacing w:val="-5"/>
          <w:sz w:val="28"/>
          <w:szCs w:val="28"/>
        </w:rPr>
        <w:t>盖章</w:t>
      </w:r>
      <w:r>
        <w:rPr>
          <w:rFonts w:hint="eastAsia" w:ascii="方正仿宋_GBK" w:hAnsi="方正仿宋_GBK" w:eastAsia="方正仿宋_GBK" w:cs="方正仿宋_GBK"/>
          <w:spacing w:val="-5"/>
          <w:sz w:val="28"/>
          <w:szCs w:val="28"/>
          <w:highlight w:val="none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pacing w:val="-5"/>
          <w:sz w:val="28"/>
          <w:szCs w:val="28"/>
        </w:rPr>
        <w:t>签字</w:t>
      </w:r>
      <w:r>
        <w:rPr>
          <w:rFonts w:hint="eastAsia" w:ascii="方正仿宋_GBK" w:hAnsi="方正仿宋_GBK" w:eastAsia="方正仿宋_GBK" w:cs="方正仿宋_GBK"/>
          <w:spacing w:val="-5"/>
          <w:sz w:val="28"/>
          <w:szCs w:val="28"/>
          <w:highlight w:val="none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pacing w:val="-5"/>
          <w:sz w:val="28"/>
          <w:szCs w:val="28"/>
        </w:rPr>
        <w:t>:</w:t>
      </w:r>
      <w:r>
        <w:rPr>
          <w:rFonts w:hint="eastAsia" w:ascii="方正仿宋_GBK" w:hAnsi="方正仿宋_GBK" w:eastAsia="方正仿宋_GBK" w:cs="方正仿宋_GBK"/>
          <w:spacing w:val="15"/>
          <w:sz w:val="28"/>
          <w:szCs w:val="28"/>
        </w:rPr>
        <w:t xml:space="preserve">   </w:t>
      </w:r>
      <w:r>
        <w:rPr>
          <w:rFonts w:hint="eastAsia" w:ascii="方正仿宋_GBK" w:hAnsi="方正仿宋_GBK" w:eastAsia="方正仿宋_GBK" w:cs="方正仿宋_GBK"/>
          <w:spacing w:val="15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spacing w:val="-5"/>
          <w:sz w:val="28"/>
          <w:szCs w:val="28"/>
        </w:rPr>
        <w:t>填报日期：</w:t>
      </w:r>
      <w:r>
        <w:rPr>
          <w:rFonts w:hint="eastAsia" w:ascii="方正仿宋_GBK" w:hAnsi="方正仿宋_GBK" w:eastAsia="方正仿宋_GBK" w:cs="方正仿宋_GBK"/>
          <w:spacing w:val="20"/>
          <w:sz w:val="28"/>
          <w:szCs w:val="28"/>
        </w:rPr>
        <w:t xml:space="preserve">  </w:t>
      </w:r>
      <w:r>
        <w:rPr>
          <w:rFonts w:hint="eastAsia" w:ascii="方正仿宋_GBK" w:hAnsi="方正仿宋_GBK" w:eastAsia="方正仿宋_GBK" w:cs="方正仿宋_GBK"/>
          <w:spacing w:val="-5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spacing w:val="42"/>
          <w:sz w:val="28"/>
          <w:szCs w:val="28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-5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spacing w:val="55"/>
          <w:sz w:val="28"/>
          <w:szCs w:val="28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-5"/>
          <w:sz w:val="28"/>
          <w:szCs w:val="28"/>
        </w:rPr>
        <w:t>日</w:t>
      </w:r>
    </w:p>
    <w:p>
      <w:pPr>
        <w:spacing w:line="43" w:lineRule="exact"/>
      </w:pPr>
    </w:p>
    <w:tbl>
      <w:tblPr>
        <w:tblStyle w:val="8"/>
        <w:tblW w:w="950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49"/>
        <w:gridCol w:w="81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4" w:hRule="atLeast"/>
          <w:jc w:val="center"/>
        </w:trPr>
        <w:tc>
          <w:tcPr>
            <w:tcW w:w="1349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5"/>
                <w:sz w:val="28"/>
                <w:szCs w:val="28"/>
              </w:rPr>
              <w:t>事项名称</w:t>
            </w:r>
          </w:p>
        </w:tc>
        <w:tc>
          <w:tcPr>
            <w:tcW w:w="8151" w:type="dxa"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填写说明：</w:t>
            </w:r>
          </w:p>
          <w:p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根据《重大行政决策程序暂行条例》《吉林省重大行政决策程序规定》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重大行政决策事项范围如下：</w:t>
            </w:r>
          </w:p>
          <w:p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1.有关公共服务、市场监管、社会管理、环境保护等方面的重大公共政策和措施；</w:t>
            </w:r>
          </w:p>
          <w:p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2.经济和社会发展等方面的重要规划；</w:t>
            </w:r>
          </w:p>
          <w:p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3.开发利用、保护重要自然资源和文化资源的重大公共政策和措施；</w:t>
            </w:r>
          </w:p>
          <w:p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4.在本行政区域实施的重大公共建设项目；</w:t>
            </w:r>
          </w:p>
          <w:p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5.对经济社会发展有重大影响、涉及重大公共利益或者社会公众切身利益的其他重大事项。</w:t>
            </w:r>
          </w:p>
          <w:p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不包括财政政策、货币政策等宏观调控决策，政府立法决策以及突发事件应急处置决策。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7" w:hRule="atLeast"/>
          <w:jc w:val="center"/>
        </w:trPr>
        <w:tc>
          <w:tcPr>
            <w:tcW w:w="1349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pacing w:val="-5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5"/>
                <w:sz w:val="28"/>
                <w:szCs w:val="28"/>
              </w:rPr>
              <w:t>必要性和可行性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5"/>
                <w:sz w:val="28"/>
                <w:szCs w:val="28"/>
              </w:rPr>
              <w:t>简要分析</w:t>
            </w:r>
          </w:p>
        </w:tc>
        <w:tc>
          <w:tcPr>
            <w:tcW w:w="8151" w:type="dxa"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填写说明：</w:t>
            </w:r>
          </w:p>
          <w:p>
            <w:pP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简要论述启动决策事项的必要性和可行性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9" w:hRule="atLeast"/>
          <w:jc w:val="center"/>
        </w:trPr>
        <w:tc>
          <w:tcPr>
            <w:tcW w:w="1349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pacing w:val="-6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5"/>
                <w:sz w:val="28"/>
                <w:szCs w:val="28"/>
              </w:rPr>
              <w:t>法定程序 推进安排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51" w:type="dxa"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填写说明：</w:t>
            </w:r>
          </w:p>
          <w:p>
            <w:pP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1.履行重大行政决策程序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包括公众参与、专家论证、风险评估、合法性审查和集体讨论决策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的初步时间安排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；</w:t>
            </w:r>
          </w:p>
          <w:p>
            <w:pP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2.原则上应年内完成决策程序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；</w:t>
            </w:r>
          </w:p>
          <w:p>
            <w:pP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计划完成时间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7" w:hRule="atLeast"/>
          <w:jc w:val="center"/>
        </w:trPr>
        <w:tc>
          <w:tcPr>
            <w:tcW w:w="134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5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5"/>
                <w:sz w:val="28"/>
                <w:szCs w:val="28"/>
                <w:lang w:val="en-US" w:eastAsia="zh-CN"/>
              </w:rPr>
              <w:t>合法性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5"/>
                <w:sz w:val="28"/>
                <w:szCs w:val="28"/>
                <w:lang w:val="en-US" w:eastAsia="zh-CN"/>
              </w:rPr>
              <w:t>审查意见</w:t>
            </w:r>
          </w:p>
        </w:tc>
        <w:tc>
          <w:tcPr>
            <w:tcW w:w="8151" w:type="dxa"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填写说明：</w:t>
            </w:r>
          </w:p>
          <w:p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各单位内部法制机构的审查意见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主要包括：</w:t>
            </w:r>
          </w:p>
          <w:p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1.是否属于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市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政府决策事项；</w:t>
            </w:r>
          </w:p>
          <w:p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2.是否与宪法、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</w:rPr>
              <w:t>法律、法规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、规章、国家或者省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市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政策相抵触；</w:t>
            </w:r>
          </w:p>
          <w:p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3.是否按要求拟定履行重大行政决策程序时间节点，拟不履行相关法定程序的，需说明理由。</w:t>
            </w:r>
          </w:p>
        </w:tc>
      </w:tr>
    </w:tbl>
    <w:p>
      <w:bookmarkStart w:id="0" w:name="_GoBack"/>
      <w:bookmarkEnd w:id="0"/>
    </w:p>
    <w:sectPr>
      <w:headerReference r:id="rId3" w:type="default"/>
      <w:footerReference r:id="rId4" w:type="default"/>
      <w:pgSz w:w="11907" w:h="16840"/>
      <w:pgMar w:top="1440" w:right="1587" w:bottom="1440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linePitch="57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  <w:rFonts w:hint="eastAsia"/>
        <w:sz w:val="28"/>
        <w:szCs w:val="28"/>
      </w:rPr>
    </w:pPr>
    <w:r>
      <w:rPr>
        <w:rStyle w:val="6"/>
        <w:rFonts w:hint="eastAsia"/>
        <w:sz w:val="28"/>
        <w:szCs w:val="28"/>
      </w:rPr>
      <w:t xml:space="preserve">— </w:t>
    </w:r>
    <w:r>
      <w:rPr>
        <w:rFonts w:hint="eastAsia" w:ascii="宋体" w:hAnsi="宋体" w:eastAsia="宋体" w:cs="宋体"/>
        <w:sz w:val="28"/>
        <w:szCs w:val="28"/>
      </w:rPr>
      <w:fldChar w:fldCharType="begin"/>
    </w:r>
    <w:r>
      <w:rPr>
        <w:rStyle w:val="6"/>
        <w:rFonts w:hint="eastAsia" w:ascii="宋体" w:hAnsi="宋体" w:eastAsia="宋体" w:cs="宋体"/>
        <w:sz w:val="28"/>
        <w:szCs w:val="28"/>
      </w:rPr>
      <w:instrText xml:space="preserve">PAGE  </w:instrText>
    </w:r>
    <w:r>
      <w:rPr>
        <w:rFonts w:hint="eastAsia" w:ascii="宋体" w:hAnsi="宋体" w:eastAsia="宋体" w:cs="宋体"/>
        <w:sz w:val="28"/>
        <w:szCs w:val="28"/>
      </w:rPr>
      <w:fldChar w:fldCharType="separate"/>
    </w:r>
    <w:r>
      <w:rPr>
        <w:rStyle w:val="6"/>
        <w:rFonts w:hint="eastAsia" w:ascii="宋体" w:hAnsi="宋体" w:eastAsia="宋体" w:cs="宋体"/>
        <w:sz w:val="28"/>
        <w:szCs w:val="28"/>
      </w:rPr>
      <w:t>6</w:t>
    </w:r>
    <w:r>
      <w:rPr>
        <w:rFonts w:hint="eastAsia" w:ascii="宋体" w:hAnsi="宋体" w:eastAsia="宋体" w:cs="宋体"/>
        <w:sz w:val="28"/>
        <w:szCs w:val="28"/>
      </w:rPr>
      <w:fldChar w:fldCharType="end"/>
    </w:r>
    <w:r>
      <w:rPr>
        <w:rStyle w:val="6"/>
        <w:rFonts w:hint="eastAsia"/>
        <w:sz w:val="28"/>
        <w:szCs w:val="28"/>
      </w:rPr>
      <w:t xml:space="preserve"> —</w:t>
    </w:r>
  </w:p>
  <w:p>
    <w:pPr>
      <w:pStyle w:val="3"/>
      <w:ind w:right="360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CD0445"/>
    <w:rsid w:val="01CD0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table" w:customStyle="1" w:styleId="8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2025-04-29T02:25:00Z</dcterms:created>
  <dc:creator>文书（发邱）</dc:creator>
  <cp:lastModifiedBy>文书（发邱）</cp:lastModifiedBy>
  <dcterms:modified xsi:type="dcterms:W3CDTF">2025-04-29T02:25:19Z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