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E8" w:rsidRDefault="00EB46E8" w:rsidP="00EB46E8">
      <w:pPr>
        <w:tabs>
          <w:tab w:val="left" w:pos="6950"/>
        </w:tabs>
        <w:spacing w:line="560" w:lineRule="exact"/>
        <w:jc w:val="lef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附件2：</w:t>
      </w:r>
    </w:p>
    <w:p w:rsidR="00EB46E8" w:rsidRDefault="00EB46E8" w:rsidP="00EB46E8">
      <w:pPr>
        <w:tabs>
          <w:tab w:val="left" w:pos="695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6E8" w:rsidRDefault="00EB46E8" w:rsidP="00EB46E8">
      <w:pPr>
        <w:tabs>
          <w:tab w:val="left" w:pos="6950"/>
        </w:tabs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梅河口市火灾高危单位名单（共23家）</w:t>
      </w:r>
    </w:p>
    <w:p w:rsidR="00EB46E8" w:rsidRDefault="00EB46E8" w:rsidP="00EB46E8">
      <w:pPr>
        <w:tabs>
          <w:tab w:val="left" w:pos="6950"/>
        </w:tabs>
        <w:spacing w:line="540" w:lineRule="exact"/>
        <w:jc w:val="left"/>
        <w:rPr>
          <w:rFonts w:eastAsia="仿宋_GB2312" w:cs="Times New Roman"/>
          <w:bCs/>
          <w:szCs w:val="32"/>
        </w:rPr>
      </w:pP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梅河口市维港城商业贸易中心有限公司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梅河口市博文学校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梅河口市阜康酒精有限责任公司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长春欧亚集团通化欧亚置业有限公司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梅河口市中联商业广场服务有限公司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梅河口市东方家居博览采购中心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梅河口市长影电影城有限公司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梅河口市妇幼保健院</w:t>
      </w:r>
    </w:p>
    <w:p w:rsidR="00EB46E8" w:rsidRDefault="00EB46E8" w:rsidP="00EB46E8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/>
          <w:color w:val="000000" w:themeColor="text1"/>
          <w:szCs w:val="32"/>
        </w:rPr>
        <w:t>梅河口市中心医院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10.</w:t>
      </w:r>
      <w:r>
        <w:rPr>
          <w:rFonts w:ascii="仿宋" w:eastAsia="仿宋" w:hAnsi="仿宋" w:cs="Times New Roman"/>
          <w:color w:val="000000" w:themeColor="text1"/>
          <w:szCs w:val="32"/>
        </w:rPr>
        <w:t>中国石油吉林通化销售分公司梅河口油库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11.</w:t>
      </w:r>
      <w:r>
        <w:rPr>
          <w:rFonts w:ascii="仿宋" w:eastAsia="仿宋" w:hAnsi="仿宋" w:cs="Times New Roman"/>
          <w:color w:val="000000" w:themeColor="text1"/>
          <w:szCs w:val="32"/>
        </w:rPr>
        <w:t>梅河口市长白山建材城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12.</w:t>
      </w:r>
      <w:r>
        <w:rPr>
          <w:rFonts w:ascii="仿宋" w:eastAsia="仿宋" w:hAnsi="仿宋" w:cs="Times New Roman"/>
          <w:color w:val="000000" w:themeColor="text1"/>
          <w:szCs w:val="32"/>
        </w:rPr>
        <w:t>梅河口市江诚建国饭店有限公司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13.</w:t>
      </w:r>
      <w:r>
        <w:rPr>
          <w:rFonts w:ascii="仿宋" w:eastAsia="仿宋" w:hAnsi="仿宋" w:cs="Times New Roman"/>
          <w:color w:val="000000" w:themeColor="text1"/>
          <w:szCs w:val="32"/>
        </w:rPr>
        <w:t>梅河口市热带雨林休闲洗浴会馆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14.</w:t>
      </w:r>
      <w:r>
        <w:rPr>
          <w:rFonts w:ascii="仿宋" w:eastAsia="仿宋" w:hAnsi="仿宋" w:cs="Times New Roman"/>
          <w:color w:val="000000" w:themeColor="text1"/>
          <w:szCs w:val="32"/>
        </w:rPr>
        <w:t>梅河口市万境湖宾馆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15.</w:t>
      </w:r>
      <w:r>
        <w:rPr>
          <w:rFonts w:ascii="仿宋" w:eastAsia="仿宋" w:hAnsi="仿宋" w:cs="Times New Roman"/>
          <w:color w:val="000000" w:themeColor="text1"/>
          <w:szCs w:val="32"/>
        </w:rPr>
        <w:t>梅河口市中医院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16.</w:t>
      </w:r>
      <w:r>
        <w:rPr>
          <w:rFonts w:ascii="仿宋" w:eastAsia="仿宋" w:hAnsi="仿宋" w:cs="Times New Roman"/>
          <w:color w:val="000000" w:themeColor="text1"/>
          <w:szCs w:val="32"/>
        </w:rPr>
        <w:t>梅河口市开心长寿养老院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17.</w:t>
      </w:r>
      <w:r>
        <w:rPr>
          <w:rFonts w:ascii="仿宋" w:eastAsia="仿宋" w:hAnsi="仿宋" w:cs="Times New Roman"/>
          <w:color w:val="000000" w:themeColor="text1"/>
          <w:szCs w:val="32"/>
        </w:rPr>
        <w:t>梅河口市福康医疗养护中心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18.</w:t>
      </w:r>
      <w:r>
        <w:rPr>
          <w:rFonts w:ascii="仿宋" w:eastAsia="仿宋" w:hAnsi="仿宋" w:cs="Times New Roman"/>
          <w:color w:val="000000" w:themeColor="text1"/>
          <w:szCs w:val="32"/>
        </w:rPr>
        <w:t>梅河口市翰林学校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19.</w:t>
      </w:r>
      <w:r>
        <w:rPr>
          <w:rFonts w:ascii="仿宋" w:eastAsia="仿宋" w:hAnsi="仿宋" w:cs="Times New Roman"/>
          <w:color w:val="000000" w:themeColor="text1"/>
          <w:szCs w:val="32"/>
        </w:rPr>
        <w:t>梅河口市银乐迪歌厅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/>
          <w:szCs w:val="32"/>
        </w:rPr>
        <w:t>20.</w:t>
      </w:r>
      <w:r>
        <w:rPr>
          <w:rFonts w:ascii="仿宋" w:eastAsia="仿宋" w:hAnsi="仿宋" w:cs="Times New Roman"/>
          <w:color w:val="000000"/>
          <w:szCs w:val="32"/>
        </w:rPr>
        <w:t>梅河口市剋万市内娱乐中心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lastRenderedPageBreak/>
        <w:t>21.梅河口市银河汇洗浴</w:t>
      </w:r>
    </w:p>
    <w:p w:rsidR="00EB46E8" w:rsidRDefault="00EB46E8" w:rsidP="00EB46E8">
      <w:pPr>
        <w:spacing w:line="560" w:lineRule="exact"/>
        <w:jc w:val="left"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22.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 w:themeColor="text1"/>
          <w:szCs w:val="32"/>
        </w:rPr>
        <w:t>梅河口市盛世唱名堂歌厅</w:t>
      </w:r>
    </w:p>
    <w:p w:rsidR="00255072" w:rsidRPr="00EB46E8" w:rsidRDefault="00EB46E8" w:rsidP="00EB46E8">
      <w:pPr>
        <w:widowControl/>
        <w:rPr>
          <w:rFonts w:ascii="仿宋" w:eastAsia="仿宋" w:hAnsi="仿宋" w:cs="Times New Roman"/>
          <w:color w:val="000000" w:themeColor="text1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Cs w:val="32"/>
        </w:rPr>
        <w:t>23.上海红星美凯龙品牌管理有限公司梅河口分公司</w:t>
      </w:r>
    </w:p>
    <w:sectPr w:rsidR="00255072" w:rsidRPr="00EB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72" w:rsidRDefault="00255072" w:rsidP="00EB46E8">
      <w:r>
        <w:separator/>
      </w:r>
    </w:p>
  </w:endnote>
  <w:endnote w:type="continuationSeparator" w:id="1">
    <w:p w:rsidR="00255072" w:rsidRDefault="00255072" w:rsidP="00EB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72" w:rsidRDefault="00255072" w:rsidP="00EB46E8">
      <w:r>
        <w:separator/>
      </w:r>
    </w:p>
  </w:footnote>
  <w:footnote w:type="continuationSeparator" w:id="1">
    <w:p w:rsidR="00255072" w:rsidRDefault="00255072" w:rsidP="00EB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598855"/>
    <w:multiLevelType w:val="singleLevel"/>
    <w:tmpl w:val="CC5988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E8"/>
    <w:rsid w:val="00255072"/>
    <w:rsid w:val="00EB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B46E8"/>
    <w:pPr>
      <w:widowControl w:val="0"/>
      <w:jc w:val="both"/>
    </w:pPr>
    <w:rPr>
      <w:rFonts w:ascii="Times New Roman" w:eastAsia="宋体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6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6E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B46E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B46E8"/>
    <w:rPr>
      <w:rFonts w:ascii="Times New Roman" w:eastAsia="宋体" w:hAnsi="Times New Roman" w:cs="黑体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EB46E8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EB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ZWDT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2023-03-27T01:07:00Z</dcterms:created>
  <dcterms:modified xsi:type="dcterms:W3CDTF">2023-03-27T01:07:00Z</dcterms:modified>
</cp:coreProperties>
</file>