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jc w:val="center"/>
        <w:rPr>
          <w:rFonts w:ascii="Times New Roman" w:hAnsi="Times New Roman"/>
          <w:b/>
          <w:bCs/>
          <w:sz w:val="44"/>
          <w:szCs w:val="44"/>
        </w:rPr>
      </w:pPr>
    </w:p>
    <w:p>
      <w:pPr>
        <w:jc w:val="center"/>
        <w:rPr>
          <w:rFonts w:ascii="Times New Roman" w:hAnsi="Times New Roman"/>
          <w:b/>
          <w:bCs/>
          <w:sz w:val="48"/>
          <w:szCs w:val="48"/>
        </w:rPr>
      </w:pPr>
      <w:r>
        <w:rPr>
          <w:rFonts w:hint="eastAsia" w:ascii="Times New Roman" w:hAnsi="Times New Roman"/>
          <w:b/>
          <w:bCs/>
          <w:sz w:val="48"/>
          <w:szCs w:val="48"/>
        </w:rPr>
        <w:t>梅河口市阜康化肥有限公司</w:t>
      </w:r>
    </w:p>
    <w:p>
      <w:pPr>
        <w:jc w:val="center"/>
        <w:rPr>
          <w:rFonts w:ascii="Times New Roman" w:hAnsi="Times New Roman"/>
          <w:b/>
          <w:bCs/>
          <w:sz w:val="48"/>
          <w:szCs w:val="48"/>
        </w:rPr>
      </w:pPr>
      <w:r>
        <w:rPr>
          <w:rFonts w:hint="eastAsia" w:ascii="Times New Roman" w:hAnsi="Times New Roman"/>
          <w:b/>
          <w:bCs/>
          <w:sz w:val="48"/>
          <w:szCs w:val="48"/>
        </w:rPr>
        <w:t>“11.23”一般机械伤害事故调查报告</w:t>
      </w: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pPr>
    </w:p>
    <w:p>
      <w:pPr>
        <w:spacing w:line="560" w:lineRule="exact"/>
        <w:jc w:val="center"/>
        <w:rPr>
          <w:rFonts w:ascii="Times New Roman" w:hAnsi="Times New Roman"/>
          <w:b/>
          <w:bCs/>
          <w:sz w:val="44"/>
          <w:szCs w:val="44"/>
        </w:rPr>
        <w:sectPr>
          <w:headerReference r:id="rId4" w:type="default"/>
          <w:footerReference r:id="rId5" w:type="even"/>
          <w:footnotePr>
            <w:numFmt w:val="decimalEnclosedCircleChinese"/>
            <w:numRestart w:val="eachPage"/>
          </w:footnotePr>
          <w:pgSz w:w="11906" w:h="16838"/>
          <w:pgMar w:top="1440" w:right="1800" w:bottom="1440" w:left="1800" w:header="851" w:footer="992" w:gutter="0"/>
          <w:pgNumType w:start="1"/>
          <w:cols w:space="720" w:num="1"/>
          <w:docGrid w:type="lines" w:linePitch="312" w:charSpace="0"/>
        </w:sectPr>
      </w:pPr>
    </w:p>
    <w:p>
      <w:pPr>
        <w:spacing w:line="560" w:lineRule="exact"/>
        <w:jc w:val="center"/>
        <w:rPr>
          <w:rFonts w:eastAsia="方正小标宋简体"/>
          <w:b/>
          <w:bCs/>
          <w:sz w:val="44"/>
          <w:szCs w:val="44"/>
        </w:rPr>
      </w:pPr>
      <w:r>
        <w:rPr>
          <w:rFonts w:eastAsia="方正小标宋简体"/>
          <w:b/>
          <w:bCs/>
          <w:sz w:val="44"/>
          <w:szCs w:val="44"/>
        </w:rPr>
        <w:t>梅河口市阜康化肥有限公司</w:t>
      </w:r>
    </w:p>
    <w:p>
      <w:pPr>
        <w:spacing w:line="560" w:lineRule="exact"/>
        <w:jc w:val="center"/>
        <w:rPr>
          <w:rFonts w:eastAsia="方正小标宋简体"/>
          <w:b/>
          <w:bCs/>
          <w:sz w:val="36"/>
          <w:szCs w:val="36"/>
        </w:rPr>
      </w:pPr>
      <w:r>
        <w:rPr>
          <w:rFonts w:eastAsia="方正小标宋简体"/>
          <w:b/>
          <w:bCs/>
          <w:sz w:val="44"/>
          <w:szCs w:val="44"/>
        </w:rPr>
        <w:t>“11.23”一般机械伤害事故调查报告</w:t>
      </w:r>
    </w:p>
    <w:p>
      <w:pPr>
        <w:spacing w:line="560" w:lineRule="exact"/>
        <w:ind w:firstLine="645"/>
        <w:rPr>
          <w:rFonts w:eastAsia="仿宋_GB2312"/>
          <w:sz w:val="32"/>
          <w:szCs w:val="32"/>
        </w:rPr>
      </w:pPr>
    </w:p>
    <w:p>
      <w:pPr>
        <w:spacing w:line="560" w:lineRule="exact"/>
        <w:ind w:firstLine="645"/>
        <w:rPr>
          <w:rFonts w:eastAsia="仿宋_GB2312"/>
          <w:sz w:val="32"/>
          <w:szCs w:val="32"/>
        </w:rPr>
      </w:pPr>
      <w:r>
        <w:rPr>
          <w:rFonts w:eastAsia="仿宋_GB2312"/>
          <w:sz w:val="32"/>
          <w:szCs w:val="32"/>
        </w:rPr>
        <w:t>2021年11月23日</w:t>
      </w:r>
      <w:r>
        <w:rPr>
          <w:rFonts w:hint="eastAsia" w:eastAsia="仿宋_GB2312"/>
          <w:sz w:val="32"/>
          <w:szCs w:val="32"/>
        </w:rPr>
        <w:t>2时40分许</w:t>
      </w:r>
      <w:r>
        <w:rPr>
          <w:rFonts w:eastAsia="仿宋_GB2312"/>
          <w:sz w:val="32"/>
          <w:szCs w:val="32"/>
        </w:rPr>
        <w:t>，梅河口市阜康化肥有限公司发生一起一般机械伤害事故，造成1人死亡，直接经济损失人民币</w:t>
      </w:r>
      <w:r>
        <w:rPr>
          <w:rFonts w:hint="eastAsia" w:eastAsia="仿宋_GB2312"/>
          <w:sz w:val="32"/>
          <w:szCs w:val="32"/>
        </w:rPr>
        <w:t>25</w:t>
      </w:r>
      <w:r>
        <w:rPr>
          <w:rFonts w:eastAsia="仿宋_GB2312"/>
          <w:sz w:val="32"/>
          <w:szCs w:val="32"/>
        </w:rPr>
        <w:t>0余万元。</w:t>
      </w:r>
    </w:p>
    <w:p>
      <w:pPr>
        <w:spacing w:line="560" w:lineRule="exact"/>
        <w:ind w:firstLine="645"/>
        <w:rPr>
          <w:rFonts w:eastAsia="仿宋_GB2312"/>
          <w:sz w:val="32"/>
          <w:szCs w:val="32"/>
        </w:rPr>
      </w:pPr>
      <w:r>
        <w:rPr>
          <w:rFonts w:eastAsia="仿宋_GB2312"/>
          <w:sz w:val="32"/>
          <w:szCs w:val="32"/>
        </w:rPr>
        <w:t>事故发生后，梅河口市</w:t>
      </w:r>
      <w:r>
        <w:rPr>
          <w:rFonts w:hint="eastAsia" w:eastAsia="仿宋_GB2312"/>
          <w:sz w:val="32"/>
          <w:szCs w:val="32"/>
        </w:rPr>
        <w:t>人民政府</w:t>
      </w:r>
      <w:r>
        <w:rPr>
          <w:rFonts w:eastAsia="仿宋_GB2312"/>
          <w:sz w:val="32"/>
          <w:szCs w:val="32"/>
        </w:rPr>
        <w:t>高度重视，要求迅速查明事故原因，全力救治伤者，做好死者家属安抚和善后工作。要举一反三，进一步压实安全生产工作责任，确保人民群众生命财产安全，杜绝类似事故再次发生。</w:t>
      </w:r>
    </w:p>
    <w:p>
      <w:pPr>
        <w:spacing w:line="560" w:lineRule="exact"/>
        <w:ind w:firstLine="645"/>
        <w:rPr>
          <w:rFonts w:eastAsia="仿宋_GB2312"/>
          <w:sz w:val="32"/>
          <w:szCs w:val="32"/>
        </w:rPr>
      </w:pPr>
      <w:r>
        <w:rPr>
          <w:rFonts w:eastAsia="仿宋_GB2312"/>
          <w:sz w:val="32"/>
          <w:szCs w:val="32"/>
        </w:rPr>
        <w:t>依据《中华人民共和国安全生产法》、《生产安全事故报告和调查处理条例》（国务院令第493号）等有关法律法规的规定，经梅河口市政府批准同意，于2021年11月23日成立了以市应急局牵头，市公安局、市工信局、市总工会、海龙镇政府组成的梅河口市阜康化肥有限公司“11.23”一般机械伤害事故调查组（以下简称事故调查组），并聘请有关专家参与事故调查工作。同时，省应急厅对该起事故进行督办。</w:t>
      </w:r>
    </w:p>
    <w:p>
      <w:pPr>
        <w:spacing w:line="560" w:lineRule="exact"/>
        <w:ind w:firstLine="646"/>
        <w:rPr>
          <w:rFonts w:eastAsia="仿宋_GB2312"/>
          <w:sz w:val="32"/>
          <w:szCs w:val="32"/>
        </w:rPr>
      </w:pPr>
      <w:r>
        <w:rPr>
          <w:rFonts w:hint="eastAsia" w:eastAsia="仿宋_GB2312"/>
          <w:sz w:val="32"/>
          <w:szCs w:val="32"/>
        </w:rPr>
        <w:t>事故调查组认真贯彻落实市领导重要指示精神，按照“四不放过”和“科学严谨、依法依规、实事求是、注重实效”的原则，通过现场勘查、调查取证、专家论证等，查清了事故企业存在的问题</w:t>
      </w:r>
      <w:r>
        <w:rPr>
          <w:rFonts w:hint="eastAsia" w:eastAsia="仿宋_GB2312"/>
          <w:color w:val="0000FF"/>
          <w:sz w:val="32"/>
          <w:szCs w:val="32"/>
        </w:rPr>
        <w:t>，</w:t>
      </w:r>
      <w:r>
        <w:rPr>
          <w:rFonts w:hint="eastAsia" w:eastAsia="仿宋_GB2312"/>
          <w:sz w:val="32"/>
          <w:szCs w:val="32"/>
        </w:rPr>
        <w:t>并针对事故原因及暴露的突出问题，</w:t>
      </w:r>
      <w:r>
        <w:rPr>
          <w:rFonts w:eastAsia="仿宋_GB2312"/>
          <w:sz w:val="32"/>
          <w:szCs w:val="32"/>
        </w:rPr>
        <w:t>提出了对有关责任人员和责任单位的处理意见、事故防范及整改措施建议。</w:t>
      </w:r>
    </w:p>
    <w:p>
      <w:pPr>
        <w:spacing w:line="560" w:lineRule="exact"/>
        <w:ind w:firstLine="645"/>
        <w:rPr>
          <w:rFonts w:eastAsia="仿宋_GB2312"/>
          <w:b/>
          <w:sz w:val="32"/>
          <w:szCs w:val="32"/>
        </w:rPr>
      </w:pPr>
      <w:r>
        <w:rPr>
          <w:rFonts w:eastAsia="仿宋_GB2312"/>
          <w:sz w:val="32"/>
          <w:szCs w:val="32"/>
        </w:rPr>
        <w:t>调查认定，</w:t>
      </w:r>
      <w:r>
        <w:rPr>
          <w:rFonts w:eastAsia="仿宋_GB2312"/>
          <w:b/>
          <w:sz w:val="32"/>
          <w:szCs w:val="32"/>
        </w:rPr>
        <w:t>梅河口市阜康化肥有限公司“11.23”一般机械伤害事故是一起生产安全责任事故。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eastAsia="黑体"/>
          <w:color w:val="333333"/>
          <w:sz w:val="32"/>
          <w:szCs w:val="32"/>
        </w:rPr>
        <w:t>事故发生经过及应急处置情况</w:t>
      </w:r>
    </w:p>
    <w:p>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(一)事故发生经过</w:t>
      </w:r>
      <w:r>
        <w:rPr>
          <w:rFonts w:hint="eastAsia" w:ascii="楷体" w:hAnsi="楷体" w:eastAsia="楷体" w:cs="楷体"/>
          <w:sz w:val="32"/>
          <w:szCs w:val="32"/>
        </w:rPr>
        <w:t> </w:t>
      </w:r>
    </w:p>
    <w:p>
      <w:pPr>
        <w:spacing w:line="560" w:lineRule="exact"/>
        <w:ind w:firstLine="640" w:firstLineChars="200"/>
        <w:rPr>
          <w:rFonts w:eastAsia="仿宋_GB2312"/>
          <w:sz w:val="32"/>
          <w:szCs w:val="32"/>
        </w:rPr>
      </w:pPr>
      <w:r>
        <w:rPr>
          <w:rFonts w:hint="eastAsia" w:eastAsia="仿宋_GB2312"/>
          <w:sz w:val="32"/>
          <w:szCs w:val="32"/>
        </w:rPr>
        <w:t>2021年11月22日17时30分，梅河口市阜康化肥有限公司转鼓车间甲班班长慕晓春带领9人接班上岗。慕晓春安排严俊等5人维修造粒机换皮子，安排沈铁柱等4人清理地沟卫生。</w:t>
      </w:r>
    </w:p>
    <w:p>
      <w:pPr>
        <w:spacing w:line="560" w:lineRule="exact"/>
        <w:ind w:firstLine="640" w:firstLineChars="200"/>
        <w:rPr>
          <w:rFonts w:eastAsia="仿宋_GB2312"/>
          <w:sz w:val="32"/>
          <w:szCs w:val="32"/>
        </w:rPr>
      </w:pPr>
      <w:r>
        <w:rPr>
          <w:rFonts w:hint="eastAsia" w:eastAsia="仿宋_GB2312"/>
          <w:sz w:val="32"/>
          <w:szCs w:val="32"/>
        </w:rPr>
        <w:t>22日23时许，慕晓春安排沈铁柱、李聪利、丁元华、杨德有4人带着1把电镐、1把风镐和1盏照明灯来到烘干机入口处准备进行清理内壁废料作业。风镐因故障被留烘干机外，在清料过程中4人使用1把电镐轮流作业。</w:t>
      </w:r>
    </w:p>
    <w:p>
      <w:pPr>
        <w:spacing w:line="560" w:lineRule="exact"/>
        <w:ind w:firstLine="640" w:firstLineChars="200"/>
        <w:rPr>
          <w:rFonts w:eastAsia="仿宋_GB2312"/>
          <w:sz w:val="32"/>
          <w:szCs w:val="32"/>
        </w:rPr>
      </w:pPr>
      <w:r>
        <w:rPr>
          <w:rFonts w:hint="eastAsia" w:eastAsia="仿宋_GB2312"/>
          <w:sz w:val="32"/>
          <w:szCs w:val="32"/>
        </w:rPr>
        <w:t>23日2时30分许，作业区域废料已堆满。因需要先撤出机内人员，再转动机器调整作业面，于是慕晓春通知作业人员撤离烘干机。李聪利拿电镐走在最先，杨德有捋电镐线紧跟其后，沈铁柱捋照明灯线，丁元华拿照明灯走在最后，4人相继从烘干机内部撤出。李聪利将电镐放在了烘干机外部平台下方，丁元华将照明灯挂在了烘干机进出口门上，沈铁柱带上风镐，相继来到休息室。</w:t>
      </w:r>
    </w:p>
    <w:p>
      <w:pPr>
        <w:spacing w:line="560" w:lineRule="exact"/>
        <w:ind w:firstLine="640" w:firstLineChars="200"/>
        <w:rPr>
          <w:rFonts w:eastAsia="仿宋_GB2312"/>
          <w:sz w:val="32"/>
          <w:szCs w:val="32"/>
        </w:rPr>
      </w:pPr>
      <w:r>
        <w:rPr>
          <w:rFonts w:hint="eastAsia" w:eastAsia="仿宋_GB2312"/>
          <w:sz w:val="32"/>
          <w:szCs w:val="32"/>
        </w:rPr>
        <w:t>在休息室内，慕晓春让严俊到二楼中控室转动烘干机，严俊在抽完半颗烟后来到二楼中控室。慕晓春离开休息室，通过对讲机向中控室的严俊下达了烘干机启车指令。烘干机转动约6-7分钟后，慕晓春下达了烘干机停车指令。在此期间，李聪利、丁元华、杨德有3人在休息室吸烟，沈铁柱在休息室内桌子的东南角坐了大约2-3分钟后离开休息室。</w:t>
      </w:r>
    </w:p>
    <w:p>
      <w:pPr>
        <w:spacing w:line="560" w:lineRule="exact"/>
        <w:ind w:firstLine="640" w:firstLineChars="200"/>
        <w:rPr>
          <w:rFonts w:eastAsia="仿宋_GB2312"/>
          <w:sz w:val="32"/>
          <w:szCs w:val="32"/>
        </w:rPr>
      </w:pPr>
      <w:r>
        <w:rPr>
          <w:rFonts w:hint="eastAsia" w:eastAsia="仿宋_GB2312"/>
          <w:sz w:val="32"/>
          <w:szCs w:val="32"/>
        </w:rPr>
        <w:t>慕晓春下达停车指令后，大约过了5-6分钟回到休息室。休息室内的工人建议烘干机再多转几分钟，于是慕晓春离开休息室，来到烘干机南侧距离入口约5米处，看到作业时使用的照明灯还挂在出入口门上，随即通过对讲机向中控室的严俊再次下达烘干机启车指令。烘干机转动30秒左右，慕晓春行进至烘干机出入口处，发现出入口处外露着一段电镐线，于是立即下达烘干机停车指令。随后慕晓春跑到休息室清点人数，未发现沈</w:t>
      </w:r>
      <w:r>
        <w:drawing>
          <wp:anchor distT="0" distB="0" distL="114300" distR="114300" simplePos="0" relativeHeight="251664384" behindDoc="0" locked="0" layoutInCell="1" allowOverlap="1">
            <wp:simplePos x="0" y="0"/>
            <wp:positionH relativeFrom="column">
              <wp:posOffset>-13335</wp:posOffset>
            </wp:positionH>
            <wp:positionV relativeFrom="paragraph">
              <wp:posOffset>3226435</wp:posOffset>
            </wp:positionV>
            <wp:extent cx="5331460" cy="4001135"/>
            <wp:effectExtent l="0" t="0" r="2540" b="0"/>
            <wp:wrapTopAndBottom/>
            <wp:docPr id="12" name="图片 12" descr="微信图片_2022010615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1061543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31460" cy="4001135"/>
                    </a:xfrm>
                    <a:prstGeom prst="rect">
                      <a:avLst/>
                    </a:prstGeom>
                    <a:noFill/>
                    <a:ln>
                      <a:noFill/>
                    </a:ln>
                  </pic:spPr>
                </pic:pic>
              </a:graphicData>
            </a:graphic>
          </wp:anchor>
        </w:drawing>
      </w:r>
      <w:r>
        <w:rPr>
          <w:rFonts w:hint="eastAsia" w:eastAsia="仿宋_GB2312"/>
          <w:sz w:val="32"/>
          <w:szCs w:val="32"/>
        </w:rPr>
        <w:t>铁柱。</w:t>
      </w:r>
    </w:p>
    <w:p>
      <w:pPr>
        <w:pStyle w:val="58"/>
        <w:ind w:left="420" w:firstLine="420"/>
      </w:pPr>
    </w:p>
    <w:p>
      <w:pPr>
        <w:spacing w:line="560" w:lineRule="exact"/>
        <w:ind w:firstLine="497"/>
        <w:rPr>
          <w:rFonts w:ascii="楷体" w:hAnsi="楷体" w:eastAsia="楷体" w:cs="楷体"/>
          <w:b/>
          <w:bCs/>
          <w:sz w:val="32"/>
          <w:szCs w:val="32"/>
        </w:rPr>
      </w:pPr>
      <w:r>
        <w:rPr>
          <w:rFonts w:hint="eastAsia" w:ascii="楷体" w:hAnsi="楷体" w:eastAsia="楷体" w:cs="楷体"/>
          <w:b/>
          <w:bCs/>
          <w:sz w:val="32"/>
          <w:szCs w:val="32"/>
        </w:rPr>
        <w:t>（二）事故救援处置情况</w:t>
      </w:r>
    </w:p>
    <w:p>
      <w:pPr>
        <w:widowControl/>
        <w:spacing w:line="560" w:lineRule="exact"/>
        <w:ind w:firstLine="640" w:firstLineChars="200"/>
        <w:jc w:val="left"/>
        <w:rPr>
          <w:rFonts w:eastAsia="仿宋_GB2312"/>
          <w:sz w:val="32"/>
          <w:szCs w:val="32"/>
        </w:rPr>
      </w:pPr>
      <w:r>
        <w:rPr>
          <w:rFonts w:hint="eastAsia" w:eastAsia="仿宋_GB2312"/>
          <w:sz w:val="32"/>
          <w:szCs w:val="32"/>
        </w:rPr>
        <w:t>慕晓春发现沈铁柱不在休息室后，立即安排人员四处寻找，并组织丁元华、杨德有等人到烘干机内用铁锹清理废料，大约清理了10分钟左右，在烘干机内距进料口3-4米处的废料堆下找到了沈铁柱，电镐在沈铁柱身旁不远处，众人将沈铁柱抬到烘干机外。</w:t>
      </w:r>
    </w:p>
    <w:p>
      <w:pPr>
        <w:widowControl/>
        <w:spacing w:line="560" w:lineRule="exact"/>
        <w:ind w:firstLine="640" w:firstLineChars="200"/>
        <w:jc w:val="left"/>
        <w:rPr>
          <w:rFonts w:eastAsia="仿宋_GB2312"/>
          <w:sz w:val="32"/>
          <w:szCs w:val="32"/>
        </w:rPr>
      </w:pPr>
      <w:r>
        <w:rPr>
          <w:rFonts w:hint="eastAsia" w:eastAsia="仿宋_GB2312"/>
          <w:sz w:val="32"/>
          <w:szCs w:val="32"/>
        </w:rPr>
        <w:t>11月23日2时59分，慕晓春先后电话向公司技术总监徐敏仓和转鼓车间主任王法苍进行汇报。3时3分，慕晓春拨打120急救电话。在此期间，徐敏仓、王法苍、宁辉、姜志国、陆长明等人相继赶到现场。3时48分，公司安环部巡检员姜志国拨打110报警。3时55分左右，120救护人员抵达现场，经现场确认，沈铁柱已经死亡。</w:t>
      </w:r>
    </w:p>
    <w:p>
      <w:pPr>
        <w:widowControl/>
        <w:spacing w:line="560" w:lineRule="exact"/>
        <w:ind w:firstLine="640" w:firstLineChars="200"/>
        <w:jc w:val="left"/>
        <w:rPr>
          <w:rFonts w:eastAsia="仿宋_GB2312"/>
          <w:sz w:val="32"/>
          <w:szCs w:val="32"/>
        </w:rPr>
      </w:pPr>
      <w:r>
        <w:rPr>
          <w:rFonts w:hint="eastAsia" w:eastAsia="仿宋_GB2312"/>
          <w:sz w:val="32"/>
          <w:szCs w:val="32"/>
        </w:rPr>
        <w:t>截至11月28日，事故善后赔偿</w:t>
      </w:r>
      <w:r>
        <w:rPr>
          <w:rFonts w:eastAsia="仿宋_GB2312"/>
          <w:sz w:val="32"/>
          <w:szCs w:val="32"/>
        </w:rPr>
        <w:t>等工作全部完毕</w:t>
      </w:r>
      <w:r>
        <w:rPr>
          <w:rFonts w:hint="eastAsia" w:eastAsia="仿宋_GB2312"/>
          <w:sz w:val="32"/>
          <w:szCs w:val="32"/>
        </w:rPr>
        <w:t>。</w:t>
      </w:r>
    </w:p>
    <w:p>
      <w:pPr>
        <w:spacing w:line="560" w:lineRule="exact"/>
        <w:ind w:firstLine="497"/>
        <w:rPr>
          <w:rFonts w:ascii="楷体" w:hAnsi="楷体" w:eastAsia="楷体" w:cs="楷体"/>
          <w:b/>
          <w:bCs/>
          <w:sz w:val="32"/>
          <w:szCs w:val="32"/>
        </w:rPr>
      </w:pPr>
      <w:r>
        <w:rPr>
          <w:rFonts w:hint="eastAsia" w:ascii="楷体" w:hAnsi="楷体" w:eastAsia="楷体" w:cs="楷体"/>
          <w:b/>
          <w:bCs/>
          <w:sz w:val="32"/>
          <w:szCs w:val="32"/>
        </w:rPr>
        <w:t>（三）事故报告情况</w:t>
      </w:r>
    </w:p>
    <w:p>
      <w:pPr>
        <w:spacing w:line="560" w:lineRule="exact"/>
        <w:ind w:firstLine="640" w:firstLineChars="200"/>
        <w:rPr>
          <w:rFonts w:eastAsia="仿宋_GB2312"/>
          <w:sz w:val="32"/>
          <w:szCs w:val="32"/>
        </w:rPr>
      </w:pPr>
      <w:r>
        <w:rPr>
          <w:rFonts w:hint="eastAsia" w:eastAsia="仿宋_GB2312"/>
          <w:sz w:val="32"/>
          <w:szCs w:val="32"/>
        </w:rPr>
        <w:t>23日3时</w:t>
      </w:r>
      <w:r>
        <w:rPr>
          <w:rFonts w:eastAsia="仿宋_GB2312"/>
          <w:sz w:val="32"/>
          <w:szCs w:val="32"/>
        </w:rPr>
        <w:t>4</w:t>
      </w:r>
      <w:r>
        <w:rPr>
          <w:rFonts w:hint="eastAsia" w:eastAsia="仿宋_GB2312"/>
          <w:sz w:val="32"/>
          <w:szCs w:val="32"/>
        </w:rPr>
        <w:t>8分，市</w:t>
      </w:r>
      <w:r>
        <w:rPr>
          <w:rFonts w:eastAsia="仿宋_GB2312"/>
          <w:sz w:val="32"/>
          <w:szCs w:val="32"/>
        </w:rPr>
        <w:t>110</w:t>
      </w:r>
      <w:r>
        <w:rPr>
          <w:rFonts w:hint="eastAsia" w:eastAsia="仿宋_GB2312"/>
          <w:sz w:val="32"/>
          <w:szCs w:val="32"/>
        </w:rPr>
        <w:t>指挥中心接到梅河口市阜康化肥有限公司事故报告。</w:t>
      </w:r>
    </w:p>
    <w:p>
      <w:pPr>
        <w:spacing w:line="560" w:lineRule="exact"/>
        <w:ind w:firstLine="640" w:firstLineChars="200"/>
        <w:rPr>
          <w:rFonts w:eastAsia="仿宋_GB2312"/>
          <w:sz w:val="32"/>
          <w:szCs w:val="32"/>
        </w:rPr>
      </w:pPr>
      <w:r>
        <w:rPr>
          <w:rFonts w:hint="eastAsia" w:eastAsia="仿宋_GB2312"/>
          <w:sz w:val="32"/>
          <w:szCs w:val="32"/>
        </w:rPr>
        <w:t>23日3时</w:t>
      </w:r>
      <w:r>
        <w:rPr>
          <w:rFonts w:eastAsia="仿宋_GB2312"/>
          <w:sz w:val="32"/>
          <w:szCs w:val="32"/>
        </w:rPr>
        <w:t>50</w:t>
      </w:r>
      <w:r>
        <w:rPr>
          <w:rFonts w:hint="eastAsia" w:eastAsia="仿宋_GB2312"/>
          <w:sz w:val="32"/>
          <w:szCs w:val="32"/>
        </w:rPr>
        <w:t>分，市</w:t>
      </w:r>
      <w:r>
        <w:rPr>
          <w:rFonts w:eastAsia="仿宋_GB2312"/>
          <w:sz w:val="32"/>
          <w:szCs w:val="32"/>
        </w:rPr>
        <w:t>110</w:t>
      </w:r>
      <w:r>
        <w:rPr>
          <w:rFonts w:hint="eastAsia" w:eastAsia="仿宋_GB2312"/>
          <w:sz w:val="32"/>
          <w:szCs w:val="32"/>
        </w:rPr>
        <w:t>指挥中心向市应急局通报了事故情况。</w:t>
      </w:r>
    </w:p>
    <w:p>
      <w:pPr>
        <w:spacing w:line="560" w:lineRule="exact"/>
        <w:ind w:firstLine="640" w:firstLineChars="200"/>
        <w:rPr>
          <w:rFonts w:eastAsia="仿宋_GB2312"/>
          <w:sz w:val="32"/>
          <w:szCs w:val="32"/>
        </w:rPr>
      </w:pPr>
      <w:r>
        <w:rPr>
          <w:rFonts w:hint="eastAsia" w:eastAsia="仿宋_GB2312"/>
          <w:sz w:val="32"/>
          <w:szCs w:val="32"/>
        </w:rPr>
        <w:t>23日4时20分，市应急局向市政府报告事故情况。市委、市政府主管领导迅速对事故调查处理工作作出部署，市公安局、市应急局、市工信局、海龙镇政府等部门领导和人员相继赶赴事故现场，开展现场处置和事故调查工作。</w:t>
      </w:r>
    </w:p>
    <w:p>
      <w:pPr>
        <w:widowControl/>
        <w:spacing w:line="560" w:lineRule="exact"/>
        <w:ind w:firstLine="640" w:firstLineChars="200"/>
        <w:jc w:val="left"/>
        <w:rPr>
          <w:rFonts w:eastAsia="仿宋_GB2312"/>
          <w:sz w:val="32"/>
          <w:szCs w:val="32"/>
        </w:rPr>
      </w:pPr>
      <w:r>
        <w:rPr>
          <w:rFonts w:hint="eastAsia" w:eastAsia="仿宋_GB2312"/>
          <w:sz w:val="32"/>
          <w:szCs w:val="32"/>
        </w:rPr>
        <w:t>23日5时40分，</w:t>
      </w:r>
      <w:r>
        <w:rPr>
          <w:rFonts w:eastAsia="仿宋_GB2312"/>
          <w:sz w:val="32"/>
          <w:szCs w:val="32"/>
        </w:rPr>
        <w:t>市应急局电话向省应急厅报告事故简要情况</w:t>
      </w:r>
      <w:r>
        <w:rPr>
          <w:rFonts w:hint="eastAsia" w:eastAsia="仿宋_GB2312"/>
          <w:sz w:val="32"/>
          <w:szCs w:val="32"/>
        </w:rPr>
        <w:t>。</w:t>
      </w:r>
    </w:p>
    <w:p>
      <w:pPr>
        <w:widowControl/>
        <w:spacing w:line="560" w:lineRule="exact"/>
        <w:ind w:firstLine="640" w:firstLineChars="200"/>
        <w:jc w:val="left"/>
        <w:rPr>
          <w:rFonts w:eastAsia="仿宋_GB2312"/>
          <w:sz w:val="32"/>
          <w:szCs w:val="32"/>
        </w:rPr>
      </w:pPr>
      <w:r>
        <w:rPr>
          <w:rFonts w:hint="eastAsia" w:eastAsia="仿宋_GB2312"/>
          <w:sz w:val="32"/>
          <w:szCs w:val="32"/>
        </w:rPr>
        <w:t>23日10时48分，市应急救援指挥中心向省应急救援指挥中心报告事故初步情况。</w:t>
      </w:r>
    </w:p>
    <w:p>
      <w:pPr>
        <w:spacing w:line="560" w:lineRule="exact"/>
        <w:ind w:firstLine="497"/>
        <w:rPr>
          <w:rFonts w:ascii="楷体" w:hAnsi="楷体" w:eastAsia="楷体" w:cs="楷体"/>
          <w:b/>
          <w:bCs/>
          <w:sz w:val="32"/>
          <w:szCs w:val="32"/>
        </w:rPr>
      </w:pPr>
      <w:r>
        <w:rPr>
          <w:rFonts w:hint="eastAsia" w:ascii="楷体" w:hAnsi="楷体" w:eastAsia="楷体" w:cs="楷体"/>
          <w:b/>
          <w:bCs/>
          <w:sz w:val="32"/>
          <w:szCs w:val="32"/>
        </w:rPr>
        <w:t>（四）事故现场勘验情况</w:t>
      </w:r>
    </w:p>
    <w:p>
      <w:pPr>
        <w:pStyle w:val="58"/>
        <w:spacing w:line="560" w:lineRule="exact"/>
        <w:ind w:left="0" w:leftChars="0" w:firstLine="420"/>
        <w:rPr>
          <w:rFonts w:ascii="Times New Roman" w:hAnsi="Times New Roman" w:eastAsia="仿宋_GB2312"/>
          <w:sz w:val="32"/>
          <w:szCs w:val="32"/>
        </w:rPr>
      </w:pPr>
      <w:r>
        <w:drawing>
          <wp:anchor distT="0" distB="0" distL="114300" distR="114300" simplePos="0" relativeHeight="251659264" behindDoc="0" locked="0" layoutInCell="1" allowOverlap="1">
            <wp:simplePos x="0" y="0"/>
            <wp:positionH relativeFrom="column">
              <wp:posOffset>13335</wp:posOffset>
            </wp:positionH>
            <wp:positionV relativeFrom="paragraph">
              <wp:posOffset>95885</wp:posOffset>
            </wp:positionV>
            <wp:extent cx="5271770" cy="3721100"/>
            <wp:effectExtent l="0" t="0" r="5080" b="0"/>
            <wp:wrapTopAndBottom/>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1770" cy="3721100"/>
                    </a:xfrm>
                    <a:prstGeom prst="rect">
                      <a:avLst/>
                    </a:prstGeom>
                    <a:noFill/>
                    <a:ln>
                      <a:noFill/>
                    </a:ln>
                  </pic:spPr>
                </pic:pic>
              </a:graphicData>
            </a:graphic>
          </wp:anchor>
        </w:drawing>
      </w:r>
      <w:r>
        <w:rPr>
          <w:rFonts w:hint="eastAsia" w:ascii="Times New Roman" w:hAnsi="Times New Roman" w:eastAsia="仿宋_GB2312"/>
          <w:sz w:val="32"/>
          <w:szCs w:val="32"/>
        </w:rPr>
        <w:t>现场位于梅河口市海龙镇阜康化肥厂，现场东临一山包，南临居民区，西临海龙酒厂，北临空房区，中心现场位于梅河口市海龙镇阜康化肥有限公司转鼓车间。</w:t>
      </w:r>
    </w:p>
    <w:p>
      <w:pPr>
        <w:pStyle w:val="58"/>
        <w:spacing w:line="560" w:lineRule="exact"/>
        <w:ind w:left="0" w:leftChars="0" w:firstLine="640"/>
        <w:rPr>
          <w:rFonts w:ascii="Times New Roman" w:hAnsi="Times New Roman" w:eastAsia="仿宋_GB2312"/>
          <w:sz w:val="32"/>
          <w:szCs w:val="32"/>
        </w:rPr>
      </w:pPr>
      <w:r>
        <w:rPr>
          <w:rFonts w:hint="eastAsia" w:ascii="Times New Roman" w:hAnsi="Times New Roman" w:eastAsia="仿宋_GB2312"/>
          <w:sz w:val="32"/>
          <w:szCs w:val="32"/>
        </w:rPr>
        <w:t>勘查见</w:t>
      </w:r>
      <w:r>
        <w:rPr>
          <w:rStyle w:val="27"/>
          <w:rFonts w:ascii="Times New Roman" w:hAnsi="Times New Roman" w:eastAsia="仿宋_GB2312"/>
          <w:sz w:val="32"/>
          <w:szCs w:val="32"/>
        </w:rPr>
        <w:footnoteReference w:id="0"/>
      </w:r>
      <w:r>
        <w:rPr>
          <w:rFonts w:hint="eastAsia" w:ascii="Times New Roman" w:hAnsi="Times New Roman" w:eastAsia="仿宋_GB2312"/>
          <w:sz w:val="32"/>
          <w:szCs w:val="32"/>
        </w:rPr>
        <w:t>，该厂房车间内中间处见一烘干机，该烘干机东临配电室，南临沉降室，西临包膜机、北临冷却机，该烘干机长26m，直径2.6m，两端距地面1.5m，烘干机内四周带有铁质杨料板，杨料板长0.35m，据与死者沈铁柱一起工作的慕晓春反映：死者于2021年11月23日02时许在烘干机内东段发现，后经120抢救无效后死亡。</w:t>
      </w:r>
    </w:p>
    <w:p>
      <w:pPr>
        <w:pStyle w:val="58"/>
        <w:spacing w:line="560" w:lineRule="exact"/>
        <w:ind w:left="0" w:leftChars="0" w:firstLine="640"/>
        <w:rPr>
          <w:rFonts w:ascii="Times New Roman" w:hAnsi="Times New Roman" w:eastAsia="仿宋_GB2312"/>
          <w:sz w:val="32"/>
          <w:szCs w:val="32"/>
        </w:rPr>
      </w:pPr>
      <w:r>
        <w:rPr>
          <w:rFonts w:hint="eastAsia" w:ascii="Times New Roman" w:hAnsi="Times New Roman" w:eastAsia="仿宋_GB2312"/>
          <w:sz w:val="32"/>
          <w:szCs w:val="32"/>
        </w:rPr>
        <w:t>勘查另见，上述配电室北侧为工人更衣室，更衣室二楼为中控室，该中控室内西侧地面见有一中控台，据该车间工作人员反映：该中控台的21号按钮，负责烘干机的开关。现场勘查其他未见异常。</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二、事故单位及相关情况</w:t>
      </w:r>
      <w:r>
        <w:rPr>
          <w:rFonts w:ascii="黑体" w:hAnsi="黑体" w:eastAsia="黑体" w:cs="黑体"/>
          <w:sz w:val="32"/>
          <w:szCs w:val="32"/>
        </w:rPr>
        <w:drawing>
          <wp:anchor distT="0" distB="0" distL="114300" distR="114300" simplePos="0" relativeHeight="251660288" behindDoc="0" locked="0" layoutInCell="1" allowOverlap="1">
            <wp:simplePos x="0" y="0"/>
            <wp:positionH relativeFrom="column">
              <wp:posOffset>60960</wp:posOffset>
            </wp:positionH>
            <wp:positionV relativeFrom="paragraph">
              <wp:posOffset>180975</wp:posOffset>
            </wp:positionV>
            <wp:extent cx="5271770" cy="3681730"/>
            <wp:effectExtent l="0" t="0" r="5080" b="0"/>
            <wp:wrapTopAndBottom/>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1770" cy="3681730"/>
                    </a:xfrm>
                    <a:prstGeom prst="rect">
                      <a:avLst/>
                    </a:prstGeom>
                    <a:noFill/>
                    <a:ln>
                      <a:noFill/>
                    </a:ln>
                  </pic:spPr>
                </pic:pic>
              </a:graphicData>
            </a:graphic>
          </wp:anchor>
        </w:drawing>
      </w:r>
      <w:r>
        <w:rPr>
          <w:rFonts w:hint="eastAsia" w:ascii="黑体" w:hAnsi="黑体" w:eastAsia="黑体" w:cs="黑体"/>
          <w:sz w:val="32"/>
          <w:szCs w:val="32"/>
        </w:rPr>
        <w:t xml:space="preserve">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(一)企业基本情况</w:t>
      </w:r>
    </w:p>
    <w:p>
      <w:pPr>
        <w:widowControl/>
        <w:spacing w:line="560" w:lineRule="exact"/>
        <w:ind w:firstLine="640" w:firstLineChars="200"/>
        <w:jc w:val="left"/>
        <w:rPr>
          <w:rFonts w:eastAsia="仿宋_GB2312"/>
          <w:sz w:val="32"/>
          <w:szCs w:val="32"/>
        </w:rPr>
      </w:pPr>
      <w:r>
        <w:rPr>
          <w:rFonts w:hint="eastAsia" w:eastAsia="仿宋_GB2312"/>
          <w:sz w:val="32"/>
          <w:szCs w:val="32"/>
        </w:rPr>
        <w:t>梅河口市阜康化肥有限公司（以下简称阜康化肥公司），成立于2002年10月21日，位于梅河口市海龙镇东街324号，法定代表人陆长明，注册资本陆仟万元整，经济性质为其他有限责任公司，统一社会信用代码为91220581740496283D，营业期限为长期，经营范围为复合肥料（高浓度）；掺混肥料、有机-无机复混肥料（II型）、缓释肥料（部分缓释肥料）、控释肥料（部分控释肥料）、稳定性复肥1型、硫包衣缓控释复肥生产、销售；农用微生物菌剂制造；化肥批发（依法须经批准的项目，经相关部门批准后方可开展经营活动）。</w:t>
      </w:r>
    </w:p>
    <w:p>
      <w:pPr>
        <w:widowControl/>
        <w:spacing w:line="560" w:lineRule="exact"/>
        <w:ind w:firstLine="640" w:firstLineChars="200"/>
        <w:jc w:val="left"/>
        <w:rPr>
          <w:rFonts w:eastAsia="仿宋_GB2312"/>
          <w:sz w:val="32"/>
          <w:szCs w:val="32"/>
        </w:rPr>
      </w:pPr>
      <w:r>
        <w:rPr>
          <w:rFonts w:hint="eastAsia" w:eastAsia="仿宋_GB2312"/>
          <w:sz w:val="32"/>
          <w:szCs w:val="32"/>
        </w:rPr>
        <w:t>全国工业产品生产许可证编号：（吉）XK13-001-00015，发证机关：吉林省市场监督管理厅，产品名称：复肥，住所：梅河口市海龙镇东街324号，生产地址：吉林省梅河口市海龙镇东街324号，有效期至：2024年10月13日，发证日期：2019年10月14日。</w:t>
      </w:r>
    </w:p>
    <w:p>
      <w:pPr>
        <w:pStyle w:val="58"/>
        <w:spacing w:line="560" w:lineRule="exact"/>
        <w:ind w:left="0" w:leftChars="0" w:firstLine="630" w:firstLineChars="300"/>
        <w:rPr>
          <w:rFonts w:ascii="Times New Roman" w:hAnsi="Times New Roman" w:eastAsia="仿宋_GB2312"/>
          <w:sz w:val="32"/>
          <w:szCs w:val="32"/>
        </w:rPr>
      </w:pPr>
      <w:r>
        <w:drawing>
          <wp:anchor distT="0" distB="0" distL="114300" distR="114300" simplePos="0" relativeHeight="251661312" behindDoc="0" locked="0" layoutInCell="1" allowOverlap="1">
            <wp:simplePos x="0" y="0"/>
            <wp:positionH relativeFrom="column">
              <wp:posOffset>-166370</wp:posOffset>
            </wp:positionH>
            <wp:positionV relativeFrom="paragraph">
              <wp:posOffset>2237740</wp:posOffset>
            </wp:positionV>
            <wp:extent cx="2691130" cy="3053715"/>
            <wp:effectExtent l="0" t="0" r="0" b="0"/>
            <wp:wrapTopAndBottom/>
            <wp:docPr id="9" name="图片 9" descr="楼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楼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91130" cy="3053715"/>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2542540</wp:posOffset>
            </wp:positionH>
            <wp:positionV relativeFrom="paragraph">
              <wp:posOffset>2237740</wp:posOffset>
            </wp:positionV>
            <wp:extent cx="2752090" cy="3062605"/>
            <wp:effectExtent l="0" t="0" r="0" b="4445"/>
            <wp:wrapTopAndBottom/>
            <wp:docPr id="5" name="图片 5" descr="中控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控室"/>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52090" cy="3062605"/>
                    </a:xfrm>
                    <a:prstGeom prst="rect">
                      <a:avLst/>
                    </a:prstGeom>
                    <a:noFill/>
                    <a:ln>
                      <a:noFill/>
                    </a:ln>
                    <a:effectLst/>
                  </pic:spPr>
                </pic:pic>
              </a:graphicData>
            </a:graphic>
          </wp:anchor>
        </w:drawing>
      </w:r>
      <w:r>
        <w:rPr>
          <w:rFonts w:hint="eastAsia" w:ascii="Times New Roman" w:hAnsi="Times New Roman" w:eastAsia="仿宋_GB2312"/>
          <w:sz w:val="32"/>
          <w:szCs w:val="32"/>
        </w:rPr>
        <w:t>阜康化肥公司现有员工150余人，下设行政部、采购部、安全环保部、财务部、生产部、销售部六个部门。生产部下设转鼓车间、高塔车间、有机肥车间、掺混车间四个车间。该公司为季节性生产，生产周期为每年10月末至次年4月末，全年生产时间约为180天，生产期为两班倒，每班12个小时，年生产能力为30万吨。</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(二)车间班组设置情况</w:t>
      </w:r>
    </w:p>
    <w:p>
      <w:pPr>
        <w:pStyle w:val="58"/>
        <w:spacing w:line="560" w:lineRule="exact"/>
        <w:ind w:left="0" w:leftChars="0" w:firstLine="640"/>
        <w:rPr>
          <w:rFonts w:ascii="Times New Roman" w:hAnsi="Times New Roman" w:eastAsia="仿宋_GB2312"/>
          <w:sz w:val="32"/>
          <w:szCs w:val="32"/>
        </w:rPr>
      </w:pPr>
      <w:r>
        <w:rPr>
          <w:rFonts w:hint="eastAsia" w:ascii="Times New Roman" w:hAnsi="Times New Roman" w:eastAsia="仿宋_GB2312"/>
          <w:sz w:val="32"/>
          <w:szCs w:val="32"/>
        </w:rPr>
        <w:t>转鼓车间位于掺混车间东侧、原料仓库1南侧，该车间主要机械设备有</w:t>
      </w:r>
      <w:r>
        <w:rPr>
          <w:rFonts w:hint="eastAsia" w:ascii="Times New Roman" w:hAnsi="Times New Roman" w:eastAsia="仿宋_GB2312"/>
          <w:b/>
          <w:bCs/>
          <w:sz w:val="32"/>
          <w:szCs w:val="32"/>
        </w:rPr>
        <w:t>烘干机</w:t>
      </w:r>
      <w:r>
        <w:rPr>
          <w:rFonts w:hint="eastAsia" w:ascii="Times New Roman" w:hAnsi="Times New Roman" w:eastAsia="仿宋_GB2312"/>
          <w:sz w:val="32"/>
          <w:szCs w:val="32"/>
        </w:rPr>
        <w:t>、冷却机、造粒机、包膜机、大粒破碎、提升机等，下设中控室、造粒、巡检、缝包、后台投料等岗位，年生产能力为6万吨。转鼓车间现有员工约46人，分成白班和夜班两个班组，每班约10-13人，班组15天一交替，事发班组为当值夜班班组。</w:t>
      </w:r>
    </w:p>
    <w:p>
      <w:pPr>
        <w:pStyle w:val="58"/>
        <w:spacing w:line="560" w:lineRule="exact"/>
        <w:ind w:left="0" w:leftChars="0" w:firstLine="735" w:firstLineChars="350"/>
        <w:rPr>
          <w:rFonts w:ascii="Times New Roman" w:hAnsi="Times New Roman" w:eastAsia="仿宋_GB2312"/>
          <w:sz w:val="32"/>
          <w:szCs w:val="32"/>
        </w:rPr>
      </w:pPr>
      <w:r>
        <w:drawing>
          <wp:anchor distT="0" distB="0" distL="114300" distR="114300" simplePos="0" relativeHeight="251663360" behindDoc="0" locked="0" layoutInCell="1" allowOverlap="1">
            <wp:simplePos x="0" y="0"/>
            <wp:positionH relativeFrom="column">
              <wp:posOffset>-3810</wp:posOffset>
            </wp:positionH>
            <wp:positionV relativeFrom="paragraph">
              <wp:posOffset>762635</wp:posOffset>
            </wp:positionV>
            <wp:extent cx="5244465" cy="3924935"/>
            <wp:effectExtent l="0" t="0" r="0" b="0"/>
            <wp:wrapTopAndBottom/>
            <wp:docPr id="1" name="图片 1" descr="烘干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烘干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44465" cy="3924935"/>
                    </a:xfrm>
                    <a:prstGeom prst="rect">
                      <a:avLst/>
                    </a:prstGeom>
                    <a:noFill/>
                    <a:ln>
                      <a:noFill/>
                    </a:ln>
                    <a:effectLst/>
                  </pic:spPr>
                </pic:pic>
              </a:graphicData>
            </a:graphic>
          </wp:anchor>
        </w:drawing>
      </w:r>
      <w:r>
        <w:rPr>
          <w:rFonts w:hint="eastAsia" w:ascii="Times New Roman" w:hAnsi="Times New Roman" w:eastAsia="仿宋_GB2312"/>
          <w:sz w:val="32"/>
          <w:szCs w:val="32"/>
        </w:rPr>
        <w:t>烘干机位于转鼓车间南侧，东西走向安装，进料口在东侧，出料口在西侧，直径2.6米，长度26米，桶形结构。</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(三)事故伤亡情况和直接经济损失</w:t>
      </w:r>
    </w:p>
    <w:p>
      <w:pPr>
        <w:spacing w:line="560" w:lineRule="exact"/>
        <w:ind w:firstLine="643" w:firstLineChars="200"/>
        <w:rPr>
          <w:rFonts w:eastAsia="仿宋_GB2312"/>
          <w:b/>
          <w:bCs/>
          <w:sz w:val="32"/>
          <w:szCs w:val="32"/>
        </w:rPr>
      </w:pPr>
      <w:r>
        <w:rPr>
          <w:rFonts w:hint="eastAsia" w:eastAsia="仿宋_GB2312"/>
          <w:b/>
          <w:bCs/>
          <w:sz w:val="32"/>
          <w:szCs w:val="32"/>
        </w:rPr>
        <w:t>1.死者情况</w:t>
      </w:r>
    </w:p>
    <w:p>
      <w:pPr>
        <w:spacing w:line="560" w:lineRule="exact"/>
        <w:ind w:firstLine="640" w:firstLineChars="200"/>
        <w:rPr>
          <w:rFonts w:hint="eastAsia" w:eastAsia="仿宋_GB2312"/>
          <w:sz w:val="32"/>
          <w:szCs w:val="32"/>
          <w:lang w:val="en-US" w:eastAsia="zh-CN"/>
        </w:rPr>
      </w:pPr>
      <w:r>
        <w:rPr>
          <w:rFonts w:eastAsia="仿宋_GB2312"/>
          <w:sz w:val="32"/>
          <w:szCs w:val="32"/>
        </w:rPr>
        <w:t>沈</w:t>
      </w:r>
      <w:r>
        <w:rPr>
          <w:rFonts w:hint="eastAsia" w:eastAsia="仿宋_GB2312"/>
          <w:sz w:val="32"/>
          <w:szCs w:val="32"/>
          <w:lang w:val="en-US" w:eastAsia="zh-CN"/>
        </w:rPr>
        <w:t>xx</w:t>
      </w:r>
      <w:r>
        <w:rPr>
          <w:rFonts w:eastAsia="仿宋_GB2312"/>
          <w:sz w:val="32"/>
          <w:szCs w:val="32"/>
        </w:rPr>
        <w:t>，男，</w:t>
      </w:r>
      <w:r>
        <w:rPr>
          <w:rFonts w:hint="eastAsia" w:eastAsia="仿宋_GB2312"/>
          <w:sz w:val="32"/>
          <w:szCs w:val="32"/>
        </w:rPr>
        <w:t>汉族，</w:t>
      </w:r>
      <w:r>
        <w:rPr>
          <w:rFonts w:hint="eastAsia" w:eastAsia="仿宋_GB2312"/>
          <w:sz w:val="32"/>
          <w:szCs w:val="32"/>
          <w:lang w:val="en-US" w:eastAsia="zh-CN"/>
        </w:rPr>
        <w:t>xx</w:t>
      </w:r>
      <w:r>
        <w:rPr>
          <w:rFonts w:hint="eastAsia" w:eastAsia="仿宋_GB2312"/>
          <w:sz w:val="32"/>
          <w:szCs w:val="32"/>
        </w:rPr>
        <w:t>岁，</w:t>
      </w:r>
      <w:r>
        <w:rPr>
          <w:rFonts w:eastAsia="仿宋_GB2312"/>
          <w:sz w:val="32"/>
          <w:szCs w:val="32"/>
        </w:rPr>
        <w:t>阜康化肥公司转鼓车间工人</w:t>
      </w:r>
      <w:r>
        <w:rPr>
          <w:rFonts w:hint="eastAsia" w:eastAsia="仿宋_GB2312"/>
          <w:sz w:val="32"/>
          <w:szCs w:val="32"/>
          <w:lang w:val="en-US" w:eastAsia="zh-CN"/>
        </w:rPr>
        <w:t>。</w:t>
      </w:r>
      <w:bookmarkStart w:id="0" w:name="_GoBack"/>
      <w:bookmarkEnd w:id="0"/>
    </w:p>
    <w:p>
      <w:pPr>
        <w:spacing w:line="560" w:lineRule="exact"/>
        <w:ind w:firstLine="640" w:firstLineChars="200"/>
        <w:rPr>
          <w:rFonts w:eastAsia="仿宋_GB2312"/>
          <w:sz w:val="32"/>
          <w:szCs w:val="32"/>
        </w:rPr>
      </w:pPr>
      <w:r>
        <w:rPr>
          <w:rFonts w:eastAsia="仿宋_GB2312"/>
          <w:sz w:val="32"/>
          <w:szCs w:val="32"/>
        </w:rPr>
        <w:t>2021年11月29日，经梅河口市公安司法鉴定中心出具的</w:t>
      </w:r>
      <w:r>
        <w:rPr>
          <w:rFonts w:hint="eastAsia" w:eastAsia="仿宋_GB2312"/>
          <w:sz w:val="32"/>
          <w:szCs w:val="32"/>
        </w:rPr>
        <w:t>《法医学尸体检验意见书》（</w:t>
      </w:r>
      <w:r>
        <w:rPr>
          <w:rFonts w:eastAsia="仿宋_GB2312"/>
          <w:sz w:val="32"/>
          <w:szCs w:val="32"/>
        </w:rPr>
        <w:t>梅公鉴（尸检）字[2021]0148号</w:t>
      </w:r>
      <w:r>
        <w:rPr>
          <w:rFonts w:hint="eastAsia" w:eastAsia="仿宋_GB2312"/>
          <w:sz w:val="32"/>
          <w:szCs w:val="32"/>
        </w:rPr>
        <w:t>），</w:t>
      </w:r>
      <w:r>
        <w:rPr>
          <w:rFonts w:eastAsia="仿宋_GB2312"/>
          <w:sz w:val="32"/>
          <w:szCs w:val="32"/>
        </w:rPr>
        <w:t>检验结果为：分析死者沈铁柱系重度颅脑损伤导致死亡。</w:t>
      </w:r>
    </w:p>
    <w:p>
      <w:pPr>
        <w:spacing w:line="560" w:lineRule="exact"/>
        <w:ind w:firstLine="643" w:firstLineChars="200"/>
        <w:rPr>
          <w:rFonts w:eastAsia="仿宋_GB2312"/>
          <w:b/>
          <w:bCs/>
          <w:sz w:val="32"/>
          <w:szCs w:val="32"/>
        </w:rPr>
      </w:pPr>
      <w:r>
        <w:rPr>
          <w:rFonts w:hint="eastAsia" w:eastAsia="仿宋_GB2312"/>
          <w:b/>
          <w:bCs/>
          <w:sz w:val="32"/>
          <w:szCs w:val="32"/>
        </w:rPr>
        <w:t>2.直接经济损失</w:t>
      </w:r>
    </w:p>
    <w:p>
      <w:pPr>
        <w:spacing w:line="560" w:lineRule="exact"/>
        <w:ind w:firstLine="640" w:firstLineChars="200"/>
        <w:rPr>
          <w:rFonts w:eastAsia="仿宋_GB2312"/>
          <w:sz w:val="32"/>
          <w:szCs w:val="32"/>
        </w:rPr>
      </w:pPr>
      <w:r>
        <w:rPr>
          <w:rFonts w:hint="eastAsia" w:eastAsia="仿宋_GB2312"/>
          <w:sz w:val="32"/>
          <w:szCs w:val="32"/>
        </w:rPr>
        <w:t>依据《企业职工伤亡事故经济损失统计标准》（GB6721-1986）和有关规定统计，</w:t>
      </w:r>
      <w:r>
        <w:rPr>
          <w:rFonts w:eastAsia="仿宋_GB2312"/>
          <w:sz w:val="32"/>
          <w:szCs w:val="32"/>
        </w:rPr>
        <w:t>事故造成的直接经济损失人民币</w:t>
      </w:r>
      <w:r>
        <w:rPr>
          <w:rFonts w:hint="eastAsia" w:eastAsia="仿宋_GB2312"/>
          <w:sz w:val="32"/>
          <w:szCs w:val="32"/>
        </w:rPr>
        <w:t>250</w:t>
      </w:r>
      <w:r>
        <w:rPr>
          <w:rFonts w:eastAsia="仿宋_GB2312"/>
          <w:sz w:val="32"/>
          <w:szCs w:val="32"/>
        </w:rPr>
        <w:t>余万元。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三、事故直接原因</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经调查认定，事故直接原因</w:t>
      </w:r>
      <w:r>
        <w:rPr>
          <w:rFonts w:hint="eastAsia" w:ascii="仿宋_GB2312" w:hAnsi="仿宋_GB2312" w:eastAsia="仿宋_GB2312" w:cs="仿宋_GB2312"/>
          <w:sz w:val="32"/>
          <w:szCs w:val="32"/>
        </w:rPr>
        <w:t>：死者沈铁柱在烘干机第一次停止运行后，在没有接到班长慕晓春发出进入烘干机工作指令的情况下，认为可以继续工作或由于其他原因擅自进入烘干炉内。班长慕晓春在第二次启动烘干机时，没有再次对烘干机内部情况进行现场确认的情况下，通知严俊启动烘干机是导致机械事故发生的直接原因</w:t>
      </w:r>
      <w:r>
        <w:rPr>
          <w:rStyle w:val="27"/>
          <w:rFonts w:eastAsia="仿宋_GB2312"/>
          <w:sz w:val="32"/>
          <w:szCs w:val="32"/>
        </w:rPr>
        <w:footnoteReference w:id="1"/>
      </w:r>
      <w:r>
        <w:rPr>
          <w:rFonts w:hint="eastAsia" w:ascii="仿宋_GB2312" w:hAnsi="仿宋_GB2312" w:eastAsia="仿宋_GB2312" w:cs="仿宋_GB2312"/>
          <w:sz w:val="32"/>
          <w:szCs w:val="32"/>
        </w:rPr>
        <w:t>。</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四、事故暴露的主要问题</w:t>
      </w:r>
    </w:p>
    <w:p>
      <w:pPr>
        <w:autoSpaceDN w:val="0"/>
        <w:spacing w:line="560" w:lineRule="exact"/>
        <w:ind w:firstLine="643" w:firstLineChars="200"/>
        <w:rPr>
          <w:rFonts w:eastAsia="楷体"/>
          <w:b/>
          <w:bCs/>
          <w:sz w:val="32"/>
        </w:rPr>
      </w:pPr>
      <w:r>
        <w:rPr>
          <w:rFonts w:hint="eastAsia" w:eastAsia="楷体"/>
          <w:b/>
          <w:bCs/>
          <w:sz w:val="32"/>
        </w:rPr>
        <w:t>（一）企业存在的问题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阜康化肥公司未依法落实安全生产主体责任。未制定转鼓车间烘干机清理物料作业操作规程</w:t>
      </w:r>
      <w:r>
        <w:rPr>
          <w:rStyle w:val="27"/>
          <w:rFonts w:ascii="仿宋_GB2312" w:hAnsi="仿宋_GB2312" w:eastAsia="仿宋_GB2312" w:cs="仿宋_GB2312"/>
          <w:sz w:val="32"/>
          <w:szCs w:val="32"/>
        </w:rPr>
        <w:footnoteReference w:id="2"/>
      </w:r>
      <w:r>
        <w:rPr>
          <w:rFonts w:hint="eastAsia" w:ascii="仿宋_GB2312" w:hAnsi="仿宋_GB2312" w:eastAsia="仿宋_GB2312" w:cs="仿宋_GB2312"/>
          <w:sz w:val="32"/>
          <w:szCs w:val="32"/>
        </w:rPr>
        <w:t>；未在烘干机出入口处设置明显的安全警示标志</w:t>
      </w:r>
      <w:r>
        <w:rPr>
          <w:rStyle w:val="27"/>
          <w:rFonts w:ascii="仿宋_GB2312" w:hAnsi="仿宋_GB2312" w:eastAsia="仿宋_GB2312" w:cs="仿宋_GB2312"/>
          <w:sz w:val="32"/>
          <w:szCs w:val="32"/>
        </w:rPr>
        <w:footnoteReference w:id="3"/>
      </w:r>
      <w:r>
        <w:rPr>
          <w:rFonts w:hint="eastAsia" w:ascii="仿宋_GB2312" w:hAnsi="仿宋_GB2312" w:eastAsia="仿宋_GB2312" w:cs="仿宋_GB2312"/>
          <w:sz w:val="32"/>
          <w:szCs w:val="32"/>
        </w:rPr>
        <w:t>；未对从事有限空间作业的现场负责人、监护人员、作业人员、应急救援人员进行专项安全培训</w:t>
      </w:r>
      <w:r>
        <w:rPr>
          <w:rStyle w:val="27"/>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rPr>
        <w:t>；在实施有限空间作业前，未制定有限空间作业方案</w:t>
      </w:r>
      <w:r>
        <w:rPr>
          <w:rStyle w:val="27"/>
          <w:rFonts w:ascii="仿宋_GB2312" w:hAnsi="仿宋_GB2312" w:eastAsia="仿宋_GB2312" w:cs="仿宋_GB2312"/>
          <w:sz w:val="32"/>
          <w:szCs w:val="32"/>
        </w:rPr>
        <w:footnoteReference w:id="5"/>
      </w:r>
      <w:r>
        <w:rPr>
          <w:rFonts w:hint="eastAsia" w:ascii="仿宋_GB2312" w:hAnsi="仿宋_GB2312" w:eastAsia="仿宋_GB2312" w:cs="仿宋_GB2312"/>
          <w:sz w:val="32"/>
          <w:szCs w:val="32"/>
        </w:rPr>
        <w:t>，未明确作业现场负责人、监护人员、作业人员及其安全职责；作业前，未履行公司制定的特殊作业管理制度，未执行《危险作业申请审批单》审批程序</w:t>
      </w:r>
      <w:r>
        <w:rPr>
          <w:rStyle w:val="27"/>
          <w:rFonts w:ascii="仿宋_GB2312" w:hAnsi="仿宋_GB2312" w:eastAsia="仿宋_GB2312" w:cs="仿宋_GB2312"/>
          <w:sz w:val="32"/>
          <w:szCs w:val="32"/>
        </w:rPr>
        <w:footnoteReference w:id="6"/>
      </w:r>
      <w:r>
        <w:rPr>
          <w:rFonts w:hint="eastAsia" w:ascii="仿宋_GB2312" w:hAnsi="仿宋_GB2312" w:eastAsia="仿宋_GB2312" w:cs="仿宋_GB2312"/>
          <w:sz w:val="32"/>
          <w:szCs w:val="32"/>
        </w:rPr>
        <w:t>；未对全员安全生产责任制落实情况进行监督考核</w:t>
      </w:r>
      <w:r>
        <w:rPr>
          <w:rStyle w:val="27"/>
          <w:rFonts w:ascii="仿宋_GB2312" w:hAnsi="仿宋_GB2312" w:eastAsia="仿宋_GB2312" w:cs="仿宋_GB2312"/>
          <w:sz w:val="32"/>
          <w:szCs w:val="32"/>
        </w:rPr>
        <w:footnoteReference w:id="7"/>
      </w:r>
      <w:r>
        <w:rPr>
          <w:rFonts w:hint="eastAsia" w:ascii="仿宋_GB2312" w:hAnsi="仿宋_GB2312" w:eastAsia="仿宋_GB2312" w:cs="仿宋_GB2312"/>
          <w:sz w:val="32"/>
          <w:szCs w:val="32"/>
        </w:rPr>
        <w:t xml:space="preserve">，导致相关人员岗位职责不清、落实不力；未开展车间级和班组级安全生产教育和培训，无培训记录。                                                                                                                                                                                                                                                                                                                                                                                                                                                                                                                                                                           </w:t>
      </w:r>
    </w:p>
    <w:p>
      <w:pPr>
        <w:autoSpaceDN w:val="0"/>
        <w:spacing w:line="560" w:lineRule="exact"/>
        <w:ind w:firstLine="643" w:firstLineChars="200"/>
        <w:rPr>
          <w:rFonts w:eastAsia="楷体"/>
          <w:b/>
          <w:bCs/>
          <w:sz w:val="32"/>
        </w:rPr>
      </w:pPr>
      <w:r>
        <w:rPr>
          <w:rFonts w:eastAsia="楷体"/>
          <w:b/>
          <w:bCs/>
          <w:sz w:val="32"/>
        </w:rPr>
        <w:t>（</w:t>
      </w:r>
      <w:r>
        <w:rPr>
          <w:rFonts w:hint="eastAsia" w:eastAsia="楷体"/>
          <w:b/>
          <w:bCs/>
          <w:sz w:val="32"/>
        </w:rPr>
        <w:t>二</w:t>
      </w:r>
      <w:r>
        <w:rPr>
          <w:rFonts w:eastAsia="楷体"/>
          <w:b/>
          <w:bCs/>
          <w:sz w:val="32"/>
        </w:rPr>
        <w:t>）</w:t>
      </w:r>
      <w:r>
        <w:rPr>
          <w:rFonts w:hint="eastAsia" w:eastAsia="楷体"/>
          <w:b/>
          <w:bCs/>
          <w:sz w:val="32"/>
        </w:rPr>
        <w:t>属地政府及有关部门存在的问题</w:t>
      </w:r>
    </w:p>
    <w:p>
      <w:pPr>
        <w:spacing w:line="560" w:lineRule="exact"/>
        <w:ind w:firstLine="643" w:firstLineChars="200"/>
        <w:rPr>
          <w:rFonts w:eastAsia="仿宋_GB2312"/>
          <w:b/>
          <w:bCs/>
          <w:sz w:val="32"/>
          <w:szCs w:val="32"/>
        </w:rPr>
      </w:pPr>
      <w:r>
        <w:rPr>
          <w:rFonts w:hint="eastAsia" w:eastAsia="仿宋_GB2312"/>
          <w:b/>
          <w:bCs/>
          <w:sz w:val="32"/>
          <w:szCs w:val="32"/>
        </w:rPr>
        <w:t>1.梅河口市海龙镇人民政府</w:t>
      </w:r>
    </w:p>
    <w:p>
      <w:pPr>
        <w:pStyle w:val="58"/>
        <w:ind w:left="0" w:leftChars="0" w:firstLine="640"/>
      </w:pPr>
      <w:r>
        <w:rPr>
          <w:rFonts w:hint="eastAsia" w:eastAsia="仿宋_GB2312"/>
          <w:sz w:val="32"/>
          <w:szCs w:val="32"/>
        </w:rPr>
        <w:t>在2021年度安全生产监督检查计划中未明确检查内容；未按照年度监督检查计划规定的检查频次实施检查，安全检查流于形式，未有效履行属地政府安全生产监督检查职责。</w:t>
      </w:r>
    </w:p>
    <w:p>
      <w:pPr>
        <w:spacing w:line="560" w:lineRule="exact"/>
        <w:ind w:firstLine="643" w:firstLineChars="200"/>
        <w:rPr>
          <w:rFonts w:eastAsia="仿宋_GB2312"/>
          <w:b/>
          <w:bCs/>
          <w:sz w:val="32"/>
          <w:szCs w:val="32"/>
        </w:rPr>
      </w:pPr>
      <w:r>
        <w:rPr>
          <w:rFonts w:hint="eastAsia" w:eastAsia="仿宋_GB2312"/>
          <w:b/>
          <w:bCs/>
          <w:sz w:val="32"/>
          <w:szCs w:val="32"/>
        </w:rPr>
        <w:t>2.梅河口市工业和信息化局</w:t>
      </w:r>
    </w:p>
    <w:p>
      <w:pPr>
        <w:spacing w:line="560" w:lineRule="exact"/>
        <w:ind w:firstLine="640" w:firstLineChars="200"/>
        <w:rPr>
          <w:rFonts w:eastAsia="仿宋_GB2312"/>
          <w:sz w:val="32"/>
          <w:szCs w:val="32"/>
        </w:rPr>
      </w:pPr>
      <w:r>
        <w:rPr>
          <w:rFonts w:hint="eastAsia" w:eastAsia="仿宋_GB2312"/>
          <w:sz w:val="32"/>
          <w:szCs w:val="32"/>
        </w:rPr>
        <w:t>在2021年度安全生产监督检查计划中未明确检查频次和检查内容；未有效履行行业管理职责。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五、对事故责任人员和有关单位的处理建议</w:t>
      </w:r>
    </w:p>
    <w:p>
      <w:pPr>
        <w:autoSpaceDN w:val="0"/>
        <w:spacing w:line="560" w:lineRule="exact"/>
        <w:ind w:firstLine="643" w:firstLineChars="200"/>
        <w:rPr>
          <w:rFonts w:ascii="楷体" w:hAnsi="楷体" w:eastAsia="楷体" w:cs="楷体"/>
          <w:b/>
          <w:bCs/>
          <w:sz w:val="32"/>
        </w:rPr>
      </w:pPr>
      <w:r>
        <w:rPr>
          <w:rFonts w:hint="eastAsia" w:ascii="楷体" w:hAnsi="楷体" w:eastAsia="楷体" w:cs="楷体"/>
          <w:b/>
          <w:bCs/>
          <w:sz w:val="32"/>
        </w:rPr>
        <w:t>（一）对企业人员的处理建议</w:t>
      </w:r>
    </w:p>
    <w:p>
      <w:pPr>
        <w:spacing w:line="560" w:lineRule="exact"/>
        <w:ind w:firstLine="643" w:firstLineChars="200"/>
        <w:rPr>
          <w:rFonts w:eastAsia="仿宋_GB2312"/>
          <w:sz w:val="32"/>
          <w:szCs w:val="32"/>
        </w:rPr>
      </w:pPr>
      <w:r>
        <w:rPr>
          <w:rFonts w:hint="eastAsia" w:eastAsia="仿宋_GB2312"/>
          <w:b/>
          <w:sz w:val="32"/>
          <w:szCs w:val="32"/>
        </w:rPr>
        <w:t>1.沈铁柱</w:t>
      </w:r>
      <w:r>
        <w:rPr>
          <w:rFonts w:eastAsia="仿宋_GB2312"/>
          <w:sz w:val="32"/>
          <w:szCs w:val="32"/>
        </w:rPr>
        <w:t>，</w:t>
      </w:r>
      <w:r>
        <w:rPr>
          <w:rFonts w:hint="eastAsia" w:eastAsia="仿宋_GB2312"/>
          <w:sz w:val="32"/>
          <w:szCs w:val="32"/>
        </w:rPr>
        <w:t>男</w:t>
      </w:r>
      <w:r>
        <w:rPr>
          <w:rFonts w:eastAsia="仿宋_GB2312"/>
          <w:sz w:val="32"/>
          <w:szCs w:val="32"/>
        </w:rPr>
        <w:t>，阜康化肥公司转鼓车间工人</w:t>
      </w:r>
      <w:r>
        <w:rPr>
          <w:rFonts w:hint="eastAsia" w:eastAsia="仿宋_GB2312"/>
          <w:sz w:val="32"/>
          <w:szCs w:val="32"/>
        </w:rPr>
        <w:t>。</w:t>
      </w:r>
      <w:r>
        <w:rPr>
          <w:rFonts w:hint="eastAsia" w:ascii="仿宋_GB2312" w:hAnsi="仿宋_GB2312" w:eastAsia="仿宋_GB2312" w:cs="仿宋_GB2312"/>
          <w:sz w:val="32"/>
          <w:szCs w:val="32"/>
        </w:rPr>
        <w:t>在烘干机第一次停止运行后，在没有接到班长慕晓春发出进入烘干机工作的指令的情况下，认为可以继续工作或由于其他原因擅自进入烘干炉内；</w:t>
      </w:r>
      <w:r>
        <w:rPr>
          <w:rFonts w:eastAsia="仿宋_GB2312"/>
          <w:sz w:val="32"/>
          <w:szCs w:val="32"/>
        </w:rPr>
        <w:t>未</w:t>
      </w:r>
      <w:r>
        <w:rPr>
          <w:rFonts w:hint="eastAsia" w:eastAsia="仿宋_GB2312"/>
          <w:sz w:val="32"/>
          <w:szCs w:val="32"/>
        </w:rPr>
        <w:t>接受有限空间作业的作业人员专项安全培训，</w:t>
      </w:r>
      <w:r>
        <w:rPr>
          <w:rFonts w:eastAsia="仿宋_GB2312"/>
          <w:sz w:val="32"/>
          <w:szCs w:val="32"/>
        </w:rPr>
        <w:t>未掌握本职工作所需的安全生产知识，安全意识淡薄，缺乏事故预防和应急处理能力</w:t>
      </w:r>
      <w:r>
        <w:rPr>
          <w:rStyle w:val="27"/>
          <w:rFonts w:eastAsia="仿宋_GB2312"/>
          <w:sz w:val="32"/>
          <w:szCs w:val="32"/>
        </w:rPr>
        <w:footnoteReference w:id="8"/>
      </w:r>
      <w:r>
        <w:rPr>
          <w:rFonts w:hint="eastAsia" w:eastAsia="仿宋_GB2312"/>
          <w:sz w:val="32"/>
          <w:szCs w:val="32"/>
        </w:rPr>
        <w:t>。</w:t>
      </w:r>
      <w:r>
        <w:rPr>
          <w:rFonts w:eastAsia="仿宋_GB2312"/>
          <w:sz w:val="32"/>
          <w:szCs w:val="32"/>
        </w:rPr>
        <w:t>对事故发生负有</w:t>
      </w:r>
      <w:r>
        <w:rPr>
          <w:rFonts w:hint="eastAsia" w:eastAsia="仿宋_GB2312"/>
          <w:sz w:val="32"/>
          <w:szCs w:val="32"/>
        </w:rPr>
        <w:t>直接</w:t>
      </w:r>
      <w:r>
        <w:rPr>
          <w:rFonts w:eastAsia="仿宋_GB2312"/>
          <w:sz w:val="32"/>
          <w:szCs w:val="32"/>
        </w:rPr>
        <w:t>责任，鉴于该人员已在事故中死亡，建议免予追究责任。</w:t>
      </w:r>
    </w:p>
    <w:p>
      <w:pPr>
        <w:spacing w:line="560" w:lineRule="exact"/>
        <w:ind w:firstLine="643" w:firstLineChars="200"/>
        <w:rPr>
          <w:rFonts w:eastAsia="仿宋_GB2312"/>
          <w:sz w:val="32"/>
          <w:szCs w:val="32"/>
        </w:rPr>
      </w:pPr>
      <w:r>
        <w:rPr>
          <w:rFonts w:hint="eastAsia" w:eastAsia="仿宋_GB2312"/>
          <w:b/>
          <w:sz w:val="32"/>
          <w:szCs w:val="32"/>
        </w:rPr>
        <w:t>2.慕晓春</w:t>
      </w:r>
      <w:r>
        <w:rPr>
          <w:rFonts w:hint="eastAsia" w:eastAsia="仿宋_GB2312"/>
          <w:sz w:val="32"/>
          <w:szCs w:val="32"/>
        </w:rPr>
        <w:t>，男，群众，</w:t>
      </w:r>
      <w:r>
        <w:rPr>
          <w:rFonts w:eastAsia="仿宋_GB2312"/>
          <w:sz w:val="32"/>
          <w:szCs w:val="32"/>
        </w:rPr>
        <w:t>阜康化肥公司转鼓车</w:t>
      </w:r>
      <w:r>
        <w:rPr>
          <w:rFonts w:hint="eastAsia" w:eastAsia="仿宋_GB2312"/>
          <w:sz w:val="32"/>
          <w:szCs w:val="32"/>
        </w:rPr>
        <w:t>间甲班班长，作业现场负责人。在未明确现场监护人员的情况下，</w:t>
      </w:r>
      <w:r>
        <w:rPr>
          <w:rFonts w:hint="eastAsia" w:ascii="仿宋_GB2312" w:hAnsi="仿宋_GB2312" w:eastAsia="仿宋_GB2312" w:cs="仿宋_GB2312"/>
          <w:sz w:val="32"/>
          <w:szCs w:val="32"/>
        </w:rPr>
        <w:t>第二次启动烘干机前没有再次对烘干机内部情况进行现场确认；未开展班组级安全生产教育和培训；未能正确履行班长岗位职责。</w:t>
      </w:r>
      <w:r>
        <w:rPr>
          <w:rFonts w:eastAsia="仿宋_GB2312"/>
          <w:sz w:val="32"/>
          <w:szCs w:val="32"/>
        </w:rPr>
        <w:t>对事故发生负有</w:t>
      </w:r>
      <w:r>
        <w:rPr>
          <w:rFonts w:hint="eastAsia" w:eastAsia="仿宋_GB2312"/>
          <w:sz w:val="32"/>
          <w:szCs w:val="32"/>
        </w:rPr>
        <w:t>主要</w:t>
      </w:r>
      <w:r>
        <w:rPr>
          <w:rFonts w:eastAsia="仿宋_GB2312"/>
          <w:sz w:val="32"/>
          <w:szCs w:val="32"/>
        </w:rPr>
        <w:t>责任，建议</w:t>
      </w:r>
      <w:r>
        <w:rPr>
          <w:rFonts w:hint="eastAsia" w:eastAsia="仿宋_GB2312"/>
          <w:sz w:val="32"/>
          <w:szCs w:val="32"/>
        </w:rPr>
        <w:t>企业予以辞退</w:t>
      </w:r>
      <w:r>
        <w:rPr>
          <w:rFonts w:eastAsia="仿宋_GB2312"/>
          <w:sz w:val="32"/>
          <w:szCs w:val="32"/>
        </w:rPr>
        <w:t>。</w:t>
      </w:r>
    </w:p>
    <w:p>
      <w:pPr>
        <w:spacing w:line="560" w:lineRule="exact"/>
        <w:ind w:firstLine="643" w:firstLineChars="200"/>
        <w:rPr>
          <w:rFonts w:eastAsia="仿宋_GB2312"/>
          <w:sz w:val="32"/>
          <w:szCs w:val="32"/>
        </w:rPr>
      </w:pPr>
      <w:r>
        <w:rPr>
          <w:rFonts w:hint="eastAsia" w:ascii="仿宋_GB2312" w:hAnsi="仿宋_GB2312" w:eastAsia="仿宋_GB2312" w:cs="仿宋_GB2312"/>
          <w:b/>
          <w:sz w:val="32"/>
          <w:szCs w:val="32"/>
        </w:rPr>
        <w:t>3.王法苍</w:t>
      </w:r>
      <w:r>
        <w:rPr>
          <w:rFonts w:hint="eastAsia" w:ascii="仿宋_GB2312" w:hAnsi="仿宋_GB2312" w:eastAsia="仿宋_GB2312" w:cs="仿宋_GB2312"/>
          <w:sz w:val="32"/>
          <w:szCs w:val="32"/>
        </w:rPr>
        <w:t>，男，群众，阜康化肥公司转鼓车间主任。在实施有限空间作业前，未制定有限空间作业方案</w:t>
      </w:r>
      <w:r>
        <w:rPr>
          <w:rStyle w:val="27"/>
          <w:rFonts w:ascii="仿宋_GB2312" w:hAnsi="仿宋_GB2312" w:eastAsia="仿宋_GB2312" w:cs="仿宋_GB2312"/>
          <w:sz w:val="32"/>
          <w:szCs w:val="32"/>
        </w:rPr>
        <w:footnoteReference w:id="9"/>
      </w:r>
      <w:r>
        <w:rPr>
          <w:rFonts w:hint="eastAsia" w:ascii="仿宋_GB2312" w:hAnsi="仿宋_GB2312" w:eastAsia="仿宋_GB2312" w:cs="仿宋_GB2312"/>
          <w:sz w:val="32"/>
          <w:szCs w:val="32"/>
        </w:rPr>
        <w:t>，未明确作业现场负责人、监护人员、作业人员及其安全职责；未履行公司制定的特殊作业管理制度，未办理《危险作业申请审批单》审批申请；未开展车间级安全生产教育和培训；未能正确履行车间主任岗位职责。对事故发生负有主要领导责任，</w:t>
      </w:r>
      <w:r>
        <w:rPr>
          <w:rFonts w:eastAsia="仿宋_GB2312"/>
          <w:sz w:val="32"/>
          <w:szCs w:val="32"/>
        </w:rPr>
        <w:t>建议企业</w:t>
      </w:r>
      <w:r>
        <w:rPr>
          <w:rFonts w:hint="eastAsia" w:eastAsia="仿宋_GB2312"/>
          <w:sz w:val="32"/>
          <w:szCs w:val="32"/>
        </w:rPr>
        <w:t>依照本公司规定予以处罚</w:t>
      </w:r>
      <w:r>
        <w:rPr>
          <w:rFonts w:eastAsia="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宁辉</w:t>
      </w:r>
      <w:r>
        <w:rPr>
          <w:rFonts w:hint="eastAsia" w:ascii="仿宋_GB2312" w:hAnsi="仿宋_GB2312" w:eastAsia="仿宋_GB2312" w:cs="仿宋_GB2312"/>
          <w:sz w:val="32"/>
          <w:szCs w:val="32"/>
        </w:rPr>
        <w:t>，男，群众，阜康化肥公司安全环保部部长。未对从事有限空间作业的现场负责人、监护人员、作业人员、应急救援人员进行专项安全培训</w:t>
      </w:r>
      <w:r>
        <w:rPr>
          <w:rStyle w:val="27"/>
          <w:rFonts w:hint="eastAsia" w:ascii="仿宋_GB2312" w:hAnsi="仿宋_GB2312" w:eastAsia="仿宋_GB2312" w:cs="仿宋_GB2312"/>
          <w:sz w:val="32"/>
          <w:szCs w:val="32"/>
        </w:rPr>
        <w:footnoteReference w:id="10"/>
      </w:r>
      <w:r>
        <w:rPr>
          <w:rFonts w:hint="eastAsia" w:ascii="仿宋_GB2312" w:hAnsi="仿宋_GB2312" w:eastAsia="仿宋_GB2312" w:cs="仿宋_GB2312"/>
          <w:sz w:val="32"/>
          <w:szCs w:val="32"/>
        </w:rPr>
        <w:t>；对作业部门未履行公司特殊作业管理制度情况失管失察。未有效履行安全生产管理人员职责。对事故发生负有重要领导责任，</w:t>
      </w:r>
      <w:r>
        <w:rPr>
          <w:rFonts w:eastAsia="仿宋_GB2312"/>
          <w:sz w:val="32"/>
          <w:szCs w:val="32"/>
        </w:rPr>
        <w:t>建议企业</w:t>
      </w:r>
      <w:r>
        <w:rPr>
          <w:rFonts w:hint="eastAsia" w:eastAsia="仿宋_GB2312"/>
          <w:sz w:val="32"/>
          <w:szCs w:val="32"/>
        </w:rPr>
        <w:t>依法予以撤换。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sz w:val="32"/>
          <w:szCs w:val="32"/>
        </w:rPr>
        <w:t>陆长明</w:t>
      </w:r>
      <w:r>
        <w:rPr>
          <w:rFonts w:hint="eastAsia" w:ascii="仿宋_GB2312" w:hAnsi="仿宋_GB2312" w:eastAsia="仿宋_GB2312" w:cs="仿宋_GB2312"/>
          <w:sz w:val="32"/>
          <w:szCs w:val="32"/>
        </w:rPr>
        <w:t>，男，群众，阜康化肥公司总经理。未制定转鼓车间烘干机清理物料作业操作规程；未落实全员安全生产责任制；未有效履行主要负责人职责。对事故发生负有重要领导责任，按照《中华人民共和国安全生产法》的有关规定</w:t>
      </w:r>
      <w:r>
        <w:rPr>
          <w:rStyle w:val="27"/>
          <w:rFonts w:ascii="仿宋_GB2312" w:hAnsi="仿宋_GB2312" w:eastAsia="仿宋_GB2312" w:cs="仿宋_GB2312"/>
          <w:sz w:val="32"/>
          <w:szCs w:val="32"/>
        </w:rPr>
        <w:footnoteReference w:id="11"/>
      </w:r>
      <w:r>
        <w:rPr>
          <w:rStyle w:val="27"/>
          <w:rFonts w:hint="eastAsia"/>
        </w:rPr>
        <w:t xml:space="preserve"> </w:t>
      </w:r>
      <w:r>
        <w:rPr>
          <w:rFonts w:hint="eastAsia" w:ascii="仿宋_GB2312" w:hAnsi="仿宋_GB2312" w:eastAsia="仿宋_GB2312" w:cs="仿宋_GB2312"/>
          <w:sz w:val="32"/>
          <w:szCs w:val="32"/>
        </w:rPr>
        <w:t>，由市应急局予以罚款。</w:t>
      </w:r>
    </w:p>
    <w:p>
      <w:pPr>
        <w:autoSpaceDN w:val="0"/>
        <w:spacing w:line="560" w:lineRule="exact"/>
        <w:ind w:firstLine="643" w:firstLineChars="200"/>
        <w:rPr>
          <w:rFonts w:eastAsia="楷体"/>
          <w:b/>
          <w:bCs/>
          <w:sz w:val="32"/>
          <w:szCs w:val="32"/>
        </w:rPr>
      </w:pPr>
      <w:r>
        <w:rPr>
          <w:rFonts w:eastAsia="楷体"/>
          <w:b/>
          <w:bCs/>
          <w:sz w:val="32"/>
          <w:szCs w:val="32"/>
        </w:rPr>
        <w:t>（二）对</w:t>
      </w:r>
      <w:r>
        <w:rPr>
          <w:rFonts w:hint="eastAsia" w:eastAsia="楷体"/>
          <w:b/>
          <w:bCs/>
          <w:sz w:val="32"/>
          <w:szCs w:val="32"/>
        </w:rPr>
        <w:t>公职人员</w:t>
      </w:r>
      <w:r>
        <w:rPr>
          <w:rFonts w:eastAsia="楷体"/>
          <w:b/>
          <w:bCs/>
          <w:sz w:val="32"/>
          <w:szCs w:val="32"/>
        </w:rPr>
        <w:t>的处理建议</w:t>
      </w:r>
    </w:p>
    <w:p>
      <w:pPr>
        <w:spacing w:line="560" w:lineRule="exact"/>
        <w:ind w:firstLine="643" w:firstLineChars="200"/>
        <w:rPr>
          <w:rFonts w:eastAsia="仿宋_GB2312"/>
          <w:color w:val="000000"/>
          <w:sz w:val="32"/>
          <w:szCs w:val="32"/>
        </w:rPr>
      </w:pPr>
      <w:r>
        <w:rPr>
          <w:rFonts w:hint="eastAsia" w:ascii="仿宋_GB2312" w:hAnsi="仿宋_GB2312" w:eastAsia="仿宋_GB2312" w:cs="仿宋_GB2312"/>
          <w:b/>
          <w:sz w:val="32"/>
          <w:szCs w:val="32"/>
        </w:rPr>
        <w:t>1.史井春</w:t>
      </w:r>
      <w:r>
        <w:rPr>
          <w:rFonts w:hint="eastAsia" w:eastAsia="仿宋_GB2312"/>
          <w:color w:val="000000"/>
          <w:sz w:val="32"/>
          <w:szCs w:val="32"/>
        </w:rPr>
        <w:t>，男，群众，梅河口市海龙镇人民政府应急管理办公室安全生产专员。</w:t>
      </w:r>
      <w:r>
        <w:rPr>
          <w:rFonts w:hint="eastAsia" w:eastAsia="仿宋_GB2312"/>
          <w:sz w:val="32"/>
          <w:szCs w:val="32"/>
        </w:rPr>
        <w:t>在2021年度安全生产监督检查计划中未明确检查内容；未按照年度监督检查计划规定的检查频次实施检查，安全检查流于形式，未有效履行安全生产专员职责。</w:t>
      </w:r>
      <w:r>
        <w:rPr>
          <w:rFonts w:eastAsia="仿宋_GB2312"/>
          <w:sz w:val="32"/>
          <w:szCs w:val="32"/>
        </w:rPr>
        <w:t>建议由</w:t>
      </w:r>
      <w:r>
        <w:rPr>
          <w:rFonts w:hint="eastAsia" w:eastAsia="仿宋_GB2312"/>
          <w:sz w:val="32"/>
          <w:szCs w:val="32"/>
        </w:rPr>
        <w:t>市</w:t>
      </w:r>
      <w:r>
        <w:rPr>
          <w:rFonts w:eastAsia="仿宋_GB2312"/>
          <w:sz w:val="32"/>
          <w:szCs w:val="32"/>
        </w:rPr>
        <w:t>纪检监察机关</w:t>
      </w:r>
      <w:r>
        <w:rPr>
          <w:rFonts w:hint="eastAsia" w:eastAsia="仿宋_GB2312"/>
          <w:sz w:val="32"/>
          <w:szCs w:val="32"/>
        </w:rPr>
        <w:t>批评教育</w:t>
      </w:r>
      <w:r>
        <w:rPr>
          <w:rFonts w:eastAsia="仿宋_GB2312"/>
          <w:sz w:val="32"/>
          <w:szCs w:val="32"/>
        </w:rPr>
        <w:t>。</w:t>
      </w:r>
    </w:p>
    <w:p>
      <w:pPr>
        <w:spacing w:line="560" w:lineRule="exact"/>
        <w:ind w:firstLine="643" w:firstLineChars="200"/>
        <w:rPr>
          <w:rFonts w:eastAsia="仿宋_GB2312"/>
          <w:color w:val="000000"/>
          <w:sz w:val="32"/>
          <w:szCs w:val="32"/>
        </w:rPr>
      </w:pPr>
      <w:r>
        <w:rPr>
          <w:rFonts w:hint="eastAsia" w:ascii="仿宋_GB2312" w:hAnsi="仿宋_GB2312" w:eastAsia="仿宋_GB2312" w:cs="仿宋_GB2312"/>
          <w:b/>
          <w:sz w:val="32"/>
          <w:szCs w:val="32"/>
        </w:rPr>
        <w:t>2.张延学</w:t>
      </w:r>
      <w:r>
        <w:rPr>
          <w:rFonts w:hint="eastAsia" w:eastAsia="仿宋_GB2312"/>
          <w:sz w:val="32"/>
          <w:szCs w:val="32"/>
        </w:rPr>
        <w:t>，男，中共党员，梅河口市工业和信息化局安全生产科负责人。在2021年度安全生产监督检查计划中未明确检查频次和检查内容，未有效履行岗位职责。</w:t>
      </w:r>
      <w:r>
        <w:rPr>
          <w:rFonts w:eastAsia="仿宋_GB2312"/>
          <w:sz w:val="32"/>
          <w:szCs w:val="32"/>
        </w:rPr>
        <w:t>建议由纪检监察机关</w:t>
      </w:r>
      <w:r>
        <w:rPr>
          <w:rFonts w:hint="eastAsia" w:eastAsia="仿宋_GB2312"/>
          <w:sz w:val="32"/>
          <w:szCs w:val="32"/>
        </w:rPr>
        <w:t>诫勉谈话</w:t>
      </w:r>
      <w:r>
        <w:rPr>
          <w:rFonts w:eastAsia="仿宋_GB2312"/>
          <w:sz w:val="32"/>
          <w:szCs w:val="32"/>
        </w:rPr>
        <w:t>。</w:t>
      </w:r>
    </w:p>
    <w:p>
      <w:pPr>
        <w:autoSpaceDN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（三）对责任单位的处理建议</w:t>
      </w:r>
    </w:p>
    <w:p>
      <w:pPr>
        <w:spacing w:line="560" w:lineRule="exact"/>
        <w:ind w:firstLine="640" w:firstLineChars="200"/>
        <w:rPr>
          <w:rFonts w:eastAsia="仿宋_GB2312"/>
          <w:sz w:val="32"/>
          <w:szCs w:val="32"/>
        </w:rPr>
      </w:pPr>
      <w:r>
        <w:rPr>
          <w:rFonts w:eastAsia="仿宋_GB2312"/>
          <w:sz w:val="32"/>
          <w:szCs w:val="32"/>
        </w:rPr>
        <w:t>阜康化肥公司</w:t>
      </w:r>
      <w:r>
        <w:rPr>
          <w:rFonts w:hint="eastAsia" w:eastAsia="仿宋_GB2312"/>
          <w:sz w:val="32"/>
          <w:szCs w:val="32"/>
        </w:rPr>
        <w:t>未依法履行安全生产主体责任。按照《中华人民共和国安全生产法》的有关规定</w:t>
      </w:r>
      <w:r>
        <w:rPr>
          <w:rStyle w:val="27"/>
          <w:rFonts w:eastAsia="仿宋_GB2312"/>
          <w:sz w:val="32"/>
          <w:szCs w:val="32"/>
        </w:rPr>
        <w:footnoteReference w:id="12"/>
      </w:r>
      <w:r>
        <w:rPr>
          <w:rFonts w:hint="eastAsia" w:eastAsia="仿宋_GB2312"/>
          <w:sz w:val="32"/>
          <w:szCs w:val="32"/>
        </w:rPr>
        <w:t>，由市应急局予以罚款。</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六、事故防范措施建议</w:t>
      </w:r>
    </w:p>
    <w:p>
      <w:pPr>
        <w:spacing w:line="560" w:lineRule="exact"/>
        <w:ind w:firstLine="643" w:firstLineChars="200"/>
        <w:rPr>
          <w:rFonts w:eastAsia="仿宋"/>
          <w:sz w:val="32"/>
          <w:szCs w:val="32"/>
        </w:rPr>
      </w:pPr>
      <w:r>
        <w:rPr>
          <w:rFonts w:hint="eastAsia" w:eastAsia="仿宋"/>
          <w:b/>
          <w:bCs/>
          <w:sz w:val="32"/>
          <w:szCs w:val="32"/>
        </w:rPr>
        <w:t>（一）全面落实企业安全生产主体责任。</w:t>
      </w:r>
      <w:r>
        <w:rPr>
          <w:rFonts w:hint="eastAsia" w:eastAsia="仿宋"/>
          <w:sz w:val="32"/>
          <w:szCs w:val="32"/>
        </w:rPr>
        <w:t>按照安全生产相关法律法规的要求，查漏补缺、细化完善各岗位操作规程。要深刻吸取事故惨痛教训，进一步强化落实</w:t>
      </w:r>
      <w:r>
        <w:rPr>
          <w:rFonts w:hint="eastAsia" w:ascii="仿宋_GB2312" w:hAnsi="仿宋_GB2312" w:eastAsia="仿宋_GB2312" w:cs="仿宋_GB2312"/>
          <w:sz w:val="32"/>
          <w:szCs w:val="32"/>
        </w:rPr>
        <w:t>全员安全生产责任制的监督考核，</w:t>
      </w:r>
      <w:r>
        <w:rPr>
          <w:rFonts w:hint="eastAsia" w:eastAsia="仿宋"/>
          <w:sz w:val="32"/>
          <w:szCs w:val="32"/>
        </w:rPr>
        <w:t xml:space="preserve">压实企业主体责任，真正补齐短板，建强弱项，牢牢守住安全底线。 </w:t>
      </w:r>
    </w:p>
    <w:p>
      <w:pPr>
        <w:spacing w:line="560" w:lineRule="exact"/>
        <w:ind w:firstLine="643" w:firstLineChars="200"/>
        <w:rPr>
          <w:rFonts w:eastAsia="仿宋"/>
          <w:sz w:val="32"/>
          <w:szCs w:val="32"/>
        </w:rPr>
      </w:pPr>
      <w:r>
        <w:rPr>
          <w:rFonts w:hint="eastAsia" w:eastAsia="仿宋"/>
          <w:b/>
          <w:bCs/>
          <w:sz w:val="32"/>
          <w:szCs w:val="32"/>
        </w:rPr>
        <w:t>（二）严格依法建立本单位安全生产防控体系。</w:t>
      </w:r>
      <w:r>
        <w:rPr>
          <w:rFonts w:hint="eastAsia" w:eastAsia="仿宋"/>
          <w:sz w:val="32"/>
          <w:szCs w:val="32"/>
        </w:rPr>
        <w:t>要针对本单位生产特性和现状建立符合本单位实际的各类安全生产制度、规程和管控措施，坚决杜绝盲目照搬照抄、主观臆断、关口失控、执行松散等问题，尤其要对有限空间作业的作业方案及作业证审批环节，加强监督管理。</w:t>
      </w:r>
    </w:p>
    <w:p>
      <w:pPr>
        <w:spacing w:line="560" w:lineRule="exact"/>
        <w:ind w:firstLine="643" w:firstLineChars="200"/>
        <w:rPr>
          <w:rFonts w:eastAsia="仿宋"/>
          <w:sz w:val="32"/>
          <w:szCs w:val="32"/>
        </w:rPr>
      </w:pPr>
      <w:r>
        <w:rPr>
          <w:rFonts w:hint="eastAsia" w:eastAsia="仿宋"/>
          <w:b/>
          <w:bCs/>
          <w:sz w:val="32"/>
          <w:szCs w:val="32"/>
        </w:rPr>
        <w:t>（三）精准开展风险管控及隐患排查治理。</w:t>
      </w:r>
      <w:r>
        <w:rPr>
          <w:rFonts w:eastAsia="仿宋"/>
          <w:sz w:val="32"/>
          <w:szCs w:val="32"/>
        </w:rPr>
        <w:t>按照相关要求认真开展隐患排查和治理工作，及时发现和消除事故隐患</w:t>
      </w:r>
      <w:r>
        <w:rPr>
          <w:rFonts w:hint="eastAsia" w:eastAsia="仿宋"/>
          <w:sz w:val="32"/>
          <w:szCs w:val="32"/>
        </w:rPr>
        <w:t>，</w:t>
      </w:r>
      <w:r>
        <w:rPr>
          <w:rFonts w:eastAsia="仿宋"/>
          <w:sz w:val="32"/>
          <w:szCs w:val="32"/>
        </w:rPr>
        <w:t>对排查出的隐患要制定整改措施，并跟踪落实整改，如实记录安全隐患排查和治理情况；对</w:t>
      </w:r>
      <w:r>
        <w:rPr>
          <w:rFonts w:hint="eastAsia" w:eastAsia="仿宋"/>
          <w:sz w:val="32"/>
          <w:szCs w:val="32"/>
        </w:rPr>
        <w:t>有较大危险因素的生产经营场所和有关设施、设备上，设置明显的安全警示标志</w:t>
      </w:r>
      <w:r>
        <w:rPr>
          <w:rFonts w:eastAsia="仿宋"/>
          <w:sz w:val="32"/>
          <w:szCs w:val="32"/>
        </w:rPr>
        <w:t>。</w:t>
      </w:r>
    </w:p>
    <w:p>
      <w:pPr>
        <w:spacing w:line="560" w:lineRule="exact"/>
        <w:ind w:firstLine="643" w:firstLineChars="200"/>
        <w:rPr>
          <w:rFonts w:eastAsia="仿宋"/>
          <w:sz w:val="32"/>
          <w:szCs w:val="32"/>
        </w:rPr>
      </w:pPr>
      <w:r>
        <w:rPr>
          <w:rFonts w:eastAsia="仿宋"/>
          <w:b/>
          <w:bCs/>
          <w:sz w:val="32"/>
          <w:szCs w:val="32"/>
        </w:rPr>
        <w:t>（</w:t>
      </w:r>
      <w:r>
        <w:rPr>
          <w:rFonts w:hint="eastAsia" w:eastAsia="仿宋"/>
          <w:b/>
          <w:bCs/>
          <w:sz w:val="32"/>
          <w:szCs w:val="32"/>
        </w:rPr>
        <w:t>四</w:t>
      </w:r>
      <w:r>
        <w:rPr>
          <w:rFonts w:eastAsia="仿宋"/>
          <w:b/>
          <w:bCs/>
          <w:sz w:val="32"/>
          <w:szCs w:val="32"/>
        </w:rPr>
        <w:t>）</w:t>
      </w:r>
      <w:r>
        <w:rPr>
          <w:rFonts w:hint="eastAsia" w:eastAsia="仿宋"/>
          <w:b/>
          <w:bCs/>
          <w:sz w:val="32"/>
          <w:szCs w:val="32"/>
        </w:rPr>
        <w:t>严格规范各层级</w:t>
      </w:r>
      <w:r>
        <w:rPr>
          <w:rFonts w:eastAsia="仿宋"/>
          <w:b/>
          <w:bCs/>
          <w:sz w:val="32"/>
          <w:szCs w:val="32"/>
        </w:rPr>
        <w:t>安全生产教育</w:t>
      </w:r>
      <w:r>
        <w:rPr>
          <w:rFonts w:hint="eastAsia" w:eastAsia="仿宋"/>
          <w:b/>
          <w:bCs/>
          <w:sz w:val="32"/>
          <w:szCs w:val="32"/>
        </w:rPr>
        <w:t>和</w:t>
      </w:r>
      <w:r>
        <w:rPr>
          <w:rFonts w:eastAsia="仿宋"/>
          <w:b/>
          <w:bCs/>
          <w:sz w:val="32"/>
          <w:szCs w:val="32"/>
        </w:rPr>
        <w:t>培训</w:t>
      </w:r>
      <w:r>
        <w:rPr>
          <w:rFonts w:hint="eastAsia" w:eastAsia="仿宋"/>
          <w:b/>
          <w:bCs/>
          <w:sz w:val="32"/>
          <w:szCs w:val="32"/>
        </w:rPr>
        <w:t>。</w:t>
      </w:r>
      <w:r>
        <w:rPr>
          <w:rFonts w:hint="eastAsia" w:eastAsia="仿宋"/>
          <w:sz w:val="32"/>
          <w:szCs w:val="32"/>
        </w:rPr>
        <w:t>开展安全生产教育和培训必须按照相关强制规定进行，不得随意删减漏项、以偏概全。教育和督促从业人员严格执行各项规章制度和安全操作规程。在公司、车间、班组逐级建立健全安全生产教育和培训档案；加强对从事有限空间作业的现场负责人、监护人员、作业人员、应急救援人员进行专项安全培训，</w:t>
      </w:r>
      <w:r>
        <w:rPr>
          <w:rFonts w:eastAsia="仿宋"/>
          <w:sz w:val="32"/>
          <w:szCs w:val="32"/>
        </w:rPr>
        <w:t>提高安全防范意识，</w:t>
      </w:r>
      <w:r>
        <w:rPr>
          <w:rFonts w:hint="eastAsia" w:eastAsia="仿宋"/>
          <w:sz w:val="32"/>
          <w:szCs w:val="32"/>
        </w:rPr>
        <w:t>定期进行演练，提高应急处置能力。</w:t>
      </w:r>
    </w:p>
    <w:p>
      <w:pPr>
        <w:spacing w:line="560" w:lineRule="exact"/>
        <w:ind w:firstLine="643" w:firstLineChars="200"/>
        <w:rPr>
          <w:rFonts w:eastAsia="仿宋_GB2312"/>
          <w:color w:val="000000"/>
          <w:sz w:val="32"/>
          <w:szCs w:val="32"/>
        </w:rPr>
      </w:pPr>
      <w:r>
        <w:rPr>
          <w:rFonts w:eastAsia="仿宋_GB2312"/>
          <w:b/>
          <w:bCs/>
          <w:sz w:val="32"/>
          <w:szCs w:val="32"/>
        </w:rPr>
        <w:t>（</w:t>
      </w:r>
      <w:r>
        <w:rPr>
          <w:rFonts w:hint="eastAsia" w:eastAsia="仿宋_GB2312"/>
          <w:b/>
          <w:bCs/>
          <w:sz w:val="32"/>
          <w:szCs w:val="32"/>
        </w:rPr>
        <w:t>五</w:t>
      </w:r>
      <w:r>
        <w:rPr>
          <w:rFonts w:eastAsia="仿宋_GB2312"/>
          <w:b/>
          <w:bCs/>
          <w:sz w:val="32"/>
          <w:szCs w:val="32"/>
        </w:rPr>
        <w:t>）</w:t>
      </w:r>
      <w:r>
        <w:rPr>
          <w:rFonts w:hint="eastAsia" w:eastAsia="仿宋_GB2312"/>
          <w:b/>
          <w:bCs/>
          <w:sz w:val="32"/>
          <w:szCs w:val="32"/>
        </w:rPr>
        <w:t>严格落实属地和部门监管职责提升监管水平。</w:t>
      </w:r>
      <w:r>
        <w:rPr>
          <w:rFonts w:hint="eastAsia" w:eastAsia="仿宋_GB2312"/>
          <w:color w:val="000000"/>
          <w:sz w:val="32"/>
          <w:szCs w:val="32"/>
        </w:rPr>
        <w:t>持续推动</w:t>
      </w:r>
      <w:r>
        <w:rPr>
          <w:rFonts w:eastAsia="仿宋_GB2312"/>
          <w:color w:val="000000"/>
          <w:sz w:val="32"/>
          <w:szCs w:val="32"/>
        </w:rPr>
        <w:t xml:space="preserve"> “</w:t>
      </w:r>
      <w:r>
        <w:rPr>
          <w:rFonts w:hint="eastAsia" w:eastAsia="仿宋_GB2312"/>
          <w:color w:val="000000"/>
          <w:sz w:val="32"/>
          <w:szCs w:val="32"/>
        </w:rPr>
        <w:t>管行业必须管安全、管业务必须管安全、管生产经营必须管安全</w:t>
      </w:r>
      <w:r>
        <w:rPr>
          <w:rFonts w:eastAsia="仿宋_GB2312"/>
          <w:color w:val="000000"/>
          <w:sz w:val="32"/>
          <w:szCs w:val="32"/>
        </w:rPr>
        <w:t>”</w:t>
      </w:r>
      <w:r>
        <w:rPr>
          <w:rFonts w:hint="eastAsia" w:eastAsia="仿宋_GB2312"/>
          <w:color w:val="000000"/>
          <w:sz w:val="32"/>
          <w:szCs w:val="32"/>
        </w:rPr>
        <w:t>的要求，进一步压实属地和行业安全监管责任，对安全生产工作中的失职失责行为，进行坚决问责、严肃查处，切实做到知责明责、履职尽责、失职追责，有效防范化解各行业领域重大安全风险。持续建立健全安全生产隐患排查整治长效机制，对检查中发现的问题进行台账式管理，督促企业立行立改，高标准整改到位，并且不定期开展隐患整改</w:t>
      </w:r>
      <w:r>
        <w:rPr>
          <w:rFonts w:eastAsia="仿宋_GB2312"/>
          <w:color w:val="000000"/>
          <w:sz w:val="32"/>
          <w:szCs w:val="32"/>
        </w:rPr>
        <w:t>“</w:t>
      </w:r>
      <w:r>
        <w:rPr>
          <w:rFonts w:hint="eastAsia" w:eastAsia="仿宋_GB2312"/>
          <w:color w:val="000000"/>
          <w:sz w:val="32"/>
          <w:szCs w:val="32"/>
        </w:rPr>
        <w:t>回头看</w:t>
      </w:r>
      <w:r>
        <w:rPr>
          <w:rFonts w:eastAsia="仿宋_GB2312"/>
          <w:color w:val="000000"/>
          <w:sz w:val="32"/>
          <w:szCs w:val="32"/>
        </w:rPr>
        <w:t>”</w:t>
      </w:r>
      <w:r>
        <w:rPr>
          <w:rFonts w:hint="eastAsia" w:eastAsia="仿宋_GB2312"/>
          <w:color w:val="000000"/>
          <w:sz w:val="32"/>
          <w:szCs w:val="32"/>
        </w:rPr>
        <w:t>，确保安全生产隐患问题</w:t>
      </w:r>
      <w:r>
        <w:rPr>
          <w:rFonts w:eastAsia="仿宋_GB2312"/>
          <w:color w:val="000000"/>
          <w:sz w:val="32"/>
          <w:szCs w:val="32"/>
        </w:rPr>
        <w:t>“</w:t>
      </w:r>
      <w:r>
        <w:rPr>
          <w:rFonts w:hint="eastAsia" w:eastAsia="仿宋_GB2312"/>
          <w:color w:val="000000"/>
          <w:sz w:val="32"/>
          <w:szCs w:val="32"/>
        </w:rPr>
        <w:t>不反弹、不回潮</w:t>
      </w:r>
      <w:r>
        <w:rPr>
          <w:rFonts w:eastAsia="仿宋_GB2312"/>
          <w:color w:val="000000"/>
          <w:sz w:val="32"/>
          <w:szCs w:val="32"/>
        </w:rPr>
        <w:t>”</w:t>
      </w:r>
      <w:r>
        <w:rPr>
          <w:rFonts w:hint="eastAsia" w:eastAsia="仿宋_GB2312"/>
          <w:color w:val="000000"/>
          <w:sz w:val="32"/>
          <w:szCs w:val="32"/>
        </w:rPr>
        <w:t>，真正做到日常监管无盲区、隐患排查无死角、整改整治无遗漏。</w:t>
      </w: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pStyle w:val="58"/>
        <w:ind w:left="420" w:firstLine="420"/>
      </w:pPr>
    </w:p>
    <w:p>
      <w:pPr>
        <w:spacing w:line="560" w:lineRule="exact"/>
        <w:jc w:val="center"/>
        <w:rPr>
          <w:rFonts w:ascii="Times New Roman" w:hAnsi="Times New Roman" w:eastAsia="黑体"/>
          <w:bCs/>
          <w:sz w:val="32"/>
          <w:szCs w:val="32"/>
        </w:rPr>
      </w:pPr>
      <w:r>
        <w:rPr>
          <w:rFonts w:hint="eastAsia" w:ascii="Times New Roman" w:hAnsi="Times New Roman" w:eastAsia="黑体"/>
          <w:bCs/>
          <w:sz w:val="32"/>
          <w:szCs w:val="32"/>
        </w:rPr>
        <w:t>梅河口市阜康化肥有限公司</w:t>
      </w:r>
    </w:p>
    <w:p>
      <w:pPr>
        <w:spacing w:line="560" w:lineRule="exact"/>
        <w:jc w:val="center"/>
        <w:rPr>
          <w:rFonts w:ascii="Times New Roman" w:hAnsi="Times New Roman" w:eastAsia="黑体"/>
          <w:bCs/>
          <w:sz w:val="32"/>
          <w:szCs w:val="32"/>
        </w:rPr>
      </w:pPr>
      <w:r>
        <w:rPr>
          <w:rFonts w:hint="eastAsia" w:ascii="Times New Roman" w:hAnsi="Times New Roman" w:eastAsia="黑体"/>
          <w:bCs/>
          <w:sz w:val="32"/>
          <w:szCs w:val="32"/>
        </w:rPr>
        <w:t>“11</w:t>
      </w:r>
      <w:r>
        <w:rPr>
          <w:rFonts w:hint="eastAsia" w:ascii="Times New Roman" w:hAnsi="Times New Roman" w:eastAsia="方正仿宋_GBK"/>
          <w:sz w:val="32"/>
          <w:szCs w:val="32"/>
        </w:rPr>
        <w:t>·</w:t>
      </w:r>
      <w:r>
        <w:rPr>
          <w:rFonts w:hint="eastAsia" w:ascii="Times New Roman" w:hAnsi="Times New Roman" w:eastAsia="黑体"/>
          <w:bCs/>
          <w:sz w:val="32"/>
          <w:szCs w:val="32"/>
        </w:rPr>
        <w:t>23”一般机械伤害事故调查</w:t>
      </w:r>
      <w:r>
        <w:rPr>
          <w:rFonts w:ascii="Times New Roman" w:hAnsi="Times New Roman" w:eastAsia="黑体"/>
          <w:bCs/>
          <w:sz w:val="32"/>
          <w:szCs w:val="32"/>
        </w:rPr>
        <w:t>组成员名单及讨论结果</w:t>
      </w:r>
    </w:p>
    <w:tbl>
      <w:tblPr>
        <w:tblStyle w:val="21"/>
        <w:tblW w:w="9840"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41"/>
        <w:gridCol w:w="2848"/>
        <w:gridCol w:w="1417"/>
        <w:gridCol w:w="156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376" w:type="dxa"/>
            <w:vAlign w:val="center"/>
          </w:tcPr>
          <w:p>
            <w:pPr>
              <w:spacing w:line="560" w:lineRule="exact"/>
              <w:ind w:firstLine="241" w:firstLineChars="100"/>
              <w:jc w:val="center"/>
              <w:rPr>
                <w:rFonts w:asciiTheme="minorEastAsia" w:hAnsiTheme="minorEastAsia" w:eastAsiaTheme="minorEastAsia"/>
                <w:b/>
                <w:sz w:val="24"/>
                <w:szCs w:val="24"/>
              </w:rPr>
            </w:pPr>
            <w:r>
              <w:rPr>
                <w:rFonts w:asciiTheme="minorEastAsia" w:hAnsiTheme="minorEastAsia" w:eastAsiaTheme="minorEastAsia"/>
                <w:b/>
                <w:sz w:val="24"/>
                <w:szCs w:val="24"/>
              </w:rPr>
              <w:t>职务</w:t>
            </w:r>
          </w:p>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（调查组）</w:t>
            </w:r>
          </w:p>
        </w:tc>
        <w:tc>
          <w:tcPr>
            <w:tcW w:w="1341"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姓名</w:t>
            </w:r>
          </w:p>
        </w:tc>
        <w:tc>
          <w:tcPr>
            <w:tcW w:w="2848"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工作单位</w:t>
            </w:r>
          </w:p>
        </w:tc>
        <w:tc>
          <w:tcPr>
            <w:tcW w:w="1417" w:type="dxa"/>
            <w:vAlign w:val="center"/>
          </w:tcPr>
          <w:p>
            <w:pPr>
              <w:spacing w:line="560" w:lineRule="exact"/>
              <w:ind w:firstLine="241" w:firstLineChars="100"/>
              <w:rPr>
                <w:rFonts w:asciiTheme="minorEastAsia" w:hAnsiTheme="minorEastAsia" w:eastAsiaTheme="minorEastAsia"/>
                <w:b/>
                <w:sz w:val="24"/>
                <w:szCs w:val="24"/>
              </w:rPr>
            </w:pPr>
            <w:r>
              <w:rPr>
                <w:rFonts w:asciiTheme="minorEastAsia" w:hAnsiTheme="minorEastAsia" w:eastAsiaTheme="minorEastAsia"/>
                <w:b/>
                <w:sz w:val="24"/>
                <w:szCs w:val="24"/>
              </w:rPr>
              <w:t>职务</w:t>
            </w:r>
          </w:p>
          <w:p>
            <w:pPr>
              <w:spacing w:line="560" w:lineRule="exact"/>
              <w:rPr>
                <w:rFonts w:asciiTheme="minorEastAsia" w:hAnsiTheme="minorEastAsia" w:eastAsiaTheme="minorEastAsia"/>
                <w:b/>
                <w:sz w:val="24"/>
                <w:szCs w:val="24"/>
              </w:rPr>
            </w:pPr>
            <w:r>
              <w:rPr>
                <w:rFonts w:asciiTheme="minorEastAsia" w:hAnsiTheme="minorEastAsia" w:eastAsiaTheme="minorEastAsia"/>
                <w:b/>
                <w:sz w:val="24"/>
                <w:szCs w:val="24"/>
              </w:rPr>
              <w:t>（单位）</w:t>
            </w:r>
          </w:p>
        </w:tc>
        <w:tc>
          <w:tcPr>
            <w:tcW w:w="1561"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调查报告</w:t>
            </w:r>
          </w:p>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讨论意见</w:t>
            </w:r>
          </w:p>
        </w:tc>
        <w:tc>
          <w:tcPr>
            <w:tcW w:w="1297" w:type="dxa"/>
            <w:vAlign w:val="center"/>
          </w:tcPr>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讨论人</w:t>
            </w:r>
          </w:p>
          <w:p>
            <w:pPr>
              <w:spacing w:line="56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Align w:val="center"/>
          </w:tcPr>
          <w:p>
            <w:pPr>
              <w:spacing w:line="560" w:lineRule="exact"/>
              <w:ind w:firstLine="241" w:firstLineChars="100"/>
              <w:jc w:val="center"/>
              <w:rPr>
                <w:rFonts w:asciiTheme="minorEastAsia" w:hAnsiTheme="minorEastAsia" w:eastAsiaTheme="minorEastAsia"/>
                <w:b/>
                <w:sz w:val="32"/>
                <w:szCs w:val="32"/>
              </w:rPr>
            </w:pPr>
            <w:r>
              <w:rPr>
                <w:rFonts w:asciiTheme="minorEastAsia" w:hAnsiTheme="minorEastAsia" w:eastAsiaTheme="minorEastAsia"/>
                <w:b/>
                <w:sz w:val="24"/>
                <w:szCs w:val="24"/>
              </w:rPr>
              <w:t>组长</w:t>
            </w: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restart"/>
            <w:vAlign w:val="center"/>
          </w:tcPr>
          <w:p>
            <w:pPr>
              <w:spacing w:line="560" w:lineRule="exact"/>
              <w:ind w:firstLine="241" w:firstLineChars="100"/>
              <w:rPr>
                <w:rFonts w:asciiTheme="minorEastAsia" w:hAnsiTheme="minorEastAsia" w:eastAsiaTheme="minorEastAsia"/>
                <w:b/>
                <w:sz w:val="24"/>
                <w:szCs w:val="24"/>
              </w:rPr>
            </w:pPr>
            <w:r>
              <w:rPr>
                <w:rFonts w:asciiTheme="minorEastAsia" w:hAnsiTheme="minorEastAsia" w:eastAsiaTheme="minorEastAsia"/>
                <w:b/>
                <w:sz w:val="24"/>
                <w:szCs w:val="24"/>
              </w:rPr>
              <w:t>成员</w:t>
            </w: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76" w:type="dxa"/>
            <w:vMerge w:val="continue"/>
          </w:tcPr>
          <w:p>
            <w:pPr>
              <w:spacing w:line="560" w:lineRule="exact"/>
              <w:rPr>
                <w:rFonts w:asciiTheme="minorEastAsia" w:hAnsiTheme="minorEastAsia" w:eastAsiaTheme="minorEastAsia"/>
                <w:sz w:val="32"/>
                <w:szCs w:val="32"/>
              </w:rPr>
            </w:pPr>
          </w:p>
        </w:tc>
        <w:tc>
          <w:tcPr>
            <w:tcW w:w="1341" w:type="dxa"/>
          </w:tcPr>
          <w:p>
            <w:pPr>
              <w:spacing w:line="560" w:lineRule="exact"/>
              <w:rPr>
                <w:rFonts w:asciiTheme="minorEastAsia" w:hAnsiTheme="minorEastAsia" w:eastAsiaTheme="minorEastAsia"/>
                <w:sz w:val="32"/>
                <w:szCs w:val="32"/>
              </w:rPr>
            </w:pPr>
          </w:p>
        </w:tc>
        <w:tc>
          <w:tcPr>
            <w:tcW w:w="2848" w:type="dxa"/>
          </w:tcPr>
          <w:p>
            <w:pPr>
              <w:spacing w:line="560" w:lineRule="exact"/>
              <w:rPr>
                <w:rFonts w:asciiTheme="minorEastAsia" w:hAnsiTheme="minorEastAsia" w:eastAsiaTheme="minorEastAsia"/>
                <w:sz w:val="32"/>
                <w:szCs w:val="32"/>
              </w:rPr>
            </w:pPr>
          </w:p>
        </w:tc>
        <w:tc>
          <w:tcPr>
            <w:tcW w:w="1417" w:type="dxa"/>
          </w:tcPr>
          <w:p>
            <w:pPr>
              <w:spacing w:line="560" w:lineRule="exact"/>
              <w:rPr>
                <w:rFonts w:asciiTheme="minorEastAsia" w:hAnsiTheme="minorEastAsia" w:eastAsiaTheme="minorEastAsia"/>
                <w:sz w:val="32"/>
                <w:szCs w:val="32"/>
              </w:rPr>
            </w:pPr>
          </w:p>
        </w:tc>
        <w:tc>
          <w:tcPr>
            <w:tcW w:w="1561" w:type="dxa"/>
          </w:tcPr>
          <w:p>
            <w:pPr>
              <w:spacing w:line="560" w:lineRule="exact"/>
              <w:rPr>
                <w:rFonts w:asciiTheme="minorEastAsia" w:hAnsiTheme="minorEastAsia" w:eastAsiaTheme="minorEastAsia"/>
                <w:sz w:val="32"/>
                <w:szCs w:val="32"/>
              </w:rPr>
            </w:pPr>
          </w:p>
        </w:tc>
        <w:tc>
          <w:tcPr>
            <w:tcW w:w="1297" w:type="dxa"/>
          </w:tcPr>
          <w:p>
            <w:pPr>
              <w:spacing w:line="560" w:lineRule="exact"/>
              <w:rPr>
                <w:rFonts w:asciiTheme="minorEastAsia" w:hAnsiTheme="minorEastAsia" w:eastAsiaTheme="minorEastAsia"/>
                <w:sz w:val="32"/>
                <w:szCs w:val="32"/>
              </w:rPr>
            </w:pPr>
          </w:p>
        </w:tc>
      </w:tr>
    </w:tbl>
    <w:p>
      <w:pPr>
        <w:spacing w:line="560" w:lineRule="exact"/>
        <w:ind w:right="160"/>
        <w:jc w:val="right"/>
        <w:rPr>
          <w:rFonts w:ascii="Times New Roman" w:hAnsi="Times New Roman" w:eastAsia="方正仿宋_GBK"/>
          <w:sz w:val="32"/>
          <w:szCs w:val="32"/>
        </w:rPr>
      </w:pPr>
    </w:p>
    <w:p>
      <w:pPr>
        <w:spacing w:line="560" w:lineRule="exact"/>
        <w:ind w:right="160"/>
        <w:jc w:val="right"/>
        <w:rPr>
          <w:rFonts w:ascii="Times New Roman" w:hAnsi="Times New Roman" w:eastAsia="方正仿宋_GBK"/>
          <w:sz w:val="32"/>
          <w:szCs w:val="32"/>
        </w:rPr>
      </w:pPr>
      <w:r>
        <w:rPr>
          <w:rFonts w:hint="eastAsia" w:ascii="Times New Roman" w:hAnsi="Times New Roman" w:eastAsia="方正仿宋_GBK"/>
          <w:sz w:val="32"/>
          <w:szCs w:val="32"/>
        </w:rPr>
        <w:t>梅河口市阜康化肥有限公司</w:t>
      </w:r>
    </w:p>
    <w:p>
      <w:pPr>
        <w:spacing w:line="560" w:lineRule="exact"/>
        <w:ind w:right="160"/>
        <w:jc w:val="right"/>
        <w:rPr>
          <w:rFonts w:ascii="Times New Roman" w:hAnsi="Times New Roman" w:eastAsia="方正仿宋_GBK"/>
          <w:sz w:val="32"/>
          <w:szCs w:val="32"/>
        </w:rPr>
      </w:pPr>
      <w:r>
        <w:rPr>
          <w:rFonts w:hint="eastAsia" w:ascii="Times New Roman" w:hAnsi="Times New Roman" w:eastAsia="方正仿宋_GBK"/>
          <w:sz w:val="32"/>
          <w:szCs w:val="32"/>
        </w:rPr>
        <w:t>“11·23”一般机械伤害事故调查组</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20</w:t>
      </w:r>
      <w:r>
        <w:rPr>
          <w:rFonts w:hint="eastAsia" w:ascii="Times New Roman" w:hAnsi="Times New Roman" w:eastAsia="方正仿宋_GBK"/>
          <w:sz w:val="32"/>
          <w:szCs w:val="32"/>
        </w:rPr>
        <w:t>22</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月2</w:t>
      </w:r>
      <w:r>
        <w:rPr>
          <w:rFonts w:hint="eastAsia" w:ascii="Times New Roman" w:hAnsi="Times New Roman" w:eastAsia="方正仿宋_GBK"/>
          <w:sz w:val="32"/>
          <w:szCs w:val="32"/>
        </w:rPr>
        <w:t>0</w:t>
      </w:r>
      <w:r>
        <w:rPr>
          <w:rFonts w:ascii="Times New Roman" w:hAnsi="Times New Roman" w:eastAsia="方正仿宋_GBK"/>
          <w:sz w:val="32"/>
          <w:szCs w:val="32"/>
        </w:rPr>
        <w:t>日</w:t>
      </w:r>
    </w:p>
    <w:p>
      <w:pPr>
        <w:pStyle w:val="58"/>
        <w:ind w:left="420" w:firstLine="420"/>
      </w:pPr>
    </w:p>
    <w:sectPr>
      <w:footerReference r:id="rId6" w:type="default"/>
      <w:footnotePr>
        <w:numFmt w:val="decimalEnclosedCircleChinese"/>
        <w:numRestart w:val="eachPage"/>
      </w:footnote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925412"/>
      <w:docPartObj>
        <w:docPartGallery w:val="autotext"/>
      </w:docPartObj>
    </w:sdtPr>
    <w:sdtContent>
      <w:p>
        <w:pPr>
          <w:pStyle w:val="15"/>
          <w:jc w:val="center"/>
        </w:pPr>
        <w:r>
          <w:fldChar w:fldCharType="begin"/>
        </w:r>
        <w:r>
          <w:instrText xml:space="preserve">PAGE   \* MERGEFORMAT</w:instrText>
        </w:r>
        <w:r>
          <w:fldChar w:fldCharType="separate"/>
        </w:r>
        <w:r>
          <w:rPr>
            <w:lang w:val="zh-CN"/>
          </w:rPr>
          <w:t>10</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r>
        <w:separator/>
      </w:r>
    </w:p>
  </w:footnote>
  <w:footnote w:type="continuationSeparator" w:id="27">
    <w:p>
      <w:r>
        <w:continuationSeparator/>
      </w:r>
    </w:p>
  </w:footnote>
  <w:footnote w:id="0">
    <w:p>
      <w:pPr>
        <w:pStyle w:val="18"/>
        <w:jc w:val="both"/>
      </w:pPr>
      <w:r>
        <w:rPr>
          <w:rFonts w:eastAsia="方正仿宋_GBK"/>
        </w:rPr>
        <w:footnoteRef/>
      </w:r>
      <w:r>
        <w:rPr>
          <w:rFonts w:eastAsia="方正仿宋_GBK"/>
        </w:rPr>
        <w:t xml:space="preserve"> </w:t>
      </w:r>
      <w:r>
        <w:rPr>
          <w:rFonts w:hint="eastAsia" w:eastAsia="方正仿宋_GBK"/>
        </w:rPr>
        <w:t>梅河口市公安局刑事技术大队出具《现场勘验笔录》，勘验号：K2205810010002021110023。</w:t>
      </w:r>
    </w:p>
  </w:footnote>
  <w:footnote w:id="1">
    <w:p>
      <w:pPr>
        <w:pStyle w:val="18"/>
        <w:rPr>
          <w:rFonts w:eastAsia="方正仿宋_GBK"/>
        </w:rPr>
      </w:pPr>
      <w:r>
        <w:rPr>
          <w:rFonts w:hint="eastAsia" w:eastAsia="方正仿宋_GBK"/>
        </w:rPr>
        <w:footnoteRef/>
      </w:r>
      <w:r>
        <w:rPr>
          <w:rFonts w:hint="eastAsia" w:eastAsia="方正仿宋_GBK"/>
        </w:rPr>
        <w:t>《梅河口市阜康化肥有限公司“11.23”一般机械伤害事故现场勘查报告》（吉林省安全生产检测检验股份有限公司）第三项：事故原因。</w:t>
      </w:r>
    </w:p>
  </w:footnote>
  <w:footnote w:id="2">
    <w:p>
      <w:pPr>
        <w:pStyle w:val="18"/>
        <w:jc w:val="both"/>
        <w:rPr>
          <w:rFonts w:eastAsia="方正仿宋_GBK"/>
        </w:rPr>
      </w:pPr>
      <w:r>
        <w:rPr>
          <w:rFonts w:eastAsia="方正仿宋_GBK"/>
        </w:rPr>
        <w:footnoteRef/>
      </w:r>
      <w:r>
        <w:rPr>
          <w:rFonts w:eastAsia="方正仿宋_GBK"/>
        </w:rPr>
        <w:t>《中华人民共和国安全生产法》第</w:t>
      </w:r>
      <w:r>
        <w:rPr>
          <w:rFonts w:hint="eastAsia" w:eastAsia="方正仿宋_GBK"/>
        </w:rPr>
        <w:t>21</w:t>
      </w:r>
      <w:r>
        <w:rPr>
          <w:rFonts w:eastAsia="方正仿宋_GBK"/>
        </w:rPr>
        <w:t>条规定</w:t>
      </w:r>
      <w:r>
        <w:rPr>
          <w:rFonts w:hint="eastAsia" w:eastAsia="方正仿宋_GBK"/>
        </w:rPr>
        <w:t>：生产经营单位的主要负责人对本单位安全生产工作负有下列职责：（二）组织制定并实施本单位安全生产规章制度和操作规程。</w:t>
      </w:r>
    </w:p>
  </w:footnote>
  <w:footnote w:id="3">
    <w:p>
      <w:pPr>
        <w:pStyle w:val="18"/>
        <w:jc w:val="both"/>
      </w:pPr>
      <w:r>
        <w:rPr>
          <w:rFonts w:eastAsia="方正仿宋_GBK"/>
        </w:rPr>
        <w:footnoteRef/>
      </w:r>
      <w:r>
        <w:rPr>
          <w:rFonts w:eastAsia="方正仿宋_GBK"/>
        </w:rPr>
        <w:t>《中华人民共和国安全生产法》第</w:t>
      </w:r>
      <w:r>
        <w:rPr>
          <w:rFonts w:hint="eastAsia" w:eastAsia="方正仿宋_GBK"/>
        </w:rPr>
        <w:t>35</w:t>
      </w:r>
      <w:r>
        <w:rPr>
          <w:rFonts w:eastAsia="方正仿宋_GBK"/>
        </w:rPr>
        <w:t>条规定</w:t>
      </w:r>
      <w:r>
        <w:rPr>
          <w:rFonts w:hint="eastAsia" w:eastAsia="方正仿宋_GBK"/>
        </w:rPr>
        <w:t>：生产经营单位应当在有较大危险因素的生产经营场所和有关设施、设备上，设置明显的安全警示标志。</w:t>
      </w:r>
    </w:p>
  </w:footnote>
  <w:footnote w:id="4">
    <w:p>
      <w:pPr>
        <w:pStyle w:val="18"/>
        <w:jc w:val="both"/>
      </w:pPr>
      <w:r>
        <w:rPr>
          <w:rFonts w:eastAsia="方正仿宋_GBK"/>
        </w:rPr>
        <w:footnoteRef/>
      </w:r>
      <w:r>
        <w:rPr>
          <w:rFonts w:eastAsia="方正仿宋_GBK"/>
        </w:rPr>
        <w:t>《工贸企业有限空间作业安全管理与监督暂行规定》（国家安全生产监督管理总局令第59号）第6条规定：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p>
  </w:footnote>
  <w:footnote w:id="5">
    <w:p>
      <w:pPr>
        <w:pStyle w:val="18"/>
        <w:jc w:val="both"/>
        <w:rPr>
          <w:rFonts w:eastAsia="方正仿宋_GBK"/>
        </w:rPr>
      </w:pPr>
      <w:r>
        <w:rPr>
          <w:rFonts w:eastAsia="方正仿宋_GBK"/>
        </w:rPr>
        <w:footnoteRef/>
      </w:r>
      <w:r>
        <w:rPr>
          <w:rFonts w:eastAsia="方正仿宋_GBK"/>
        </w:rPr>
        <w:t>《工贸企业有限空间作业安全管理与监督暂行规定》（国家安全生产监督管理总局令第59号）第</w:t>
      </w:r>
      <w:r>
        <w:rPr>
          <w:rFonts w:hint="eastAsia" w:eastAsia="方正仿宋_GBK"/>
        </w:rPr>
        <w:t>8</w:t>
      </w:r>
      <w:r>
        <w:rPr>
          <w:rFonts w:eastAsia="方正仿宋_GBK"/>
        </w:rPr>
        <w:t>条规定：</w:t>
      </w:r>
      <w:r>
        <w:rPr>
          <w:rFonts w:hint="eastAsia" w:eastAsia="方正仿宋_GBK"/>
        </w:rPr>
        <w:t>工贸企业实施有限空间作业前，应当对作业环境进行评估，分析存在的危险有害因素，提出消除、控制危害的措施，制定有限空间作业方案，并经本企业安全生产管理人员审核、负责人批准。</w:t>
      </w:r>
    </w:p>
  </w:footnote>
  <w:footnote w:id="6">
    <w:p>
      <w:pPr>
        <w:pStyle w:val="18"/>
        <w:jc w:val="both"/>
      </w:pPr>
      <w:r>
        <w:rPr>
          <w:rFonts w:eastAsia="方正仿宋_GBK"/>
        </w:rPr>
        <w:footnoteRef/>
      </w:r>
      <w:r>
        <w:rPr>
          <w:rFonts w:eastAsia="方正仿宋_GBK"/>
        </w:rPr>
        <w:t xml:space="preserve"> </w:t>
      </w:r>
      <w:r>
        <w:rPr>
          <w:rFonts w:hint="eastAsia" w:eastAsia="方正仿宋_GBK"/>
        </w:rPr>
        <w:t>梅河口市阜康化肥有限公司《安全生产管理制度汇编》第8项特殊作业管理制度规定：2.2危险作业审批：进行危险作业前，由作业部门办理申请审批，明确作业地点、内容、日期、确定直接作业和辅助作业人员、现场监护人和指挥人、制定安全防护措施，填写《危险作业申请审批单》，由相关作业人员、相应的各级主管领导及安全管理部门签批，最终由安全环保部进行存档备案。</w:t>
      </w:r>
    </w:p>
  </w:footnote>
  <w:footnote w:id="7">
    <w:p>
      <w:pPr>
        <w:pStyle w:val="18"/>
        <w:jc w:val="both"/>
        <w:rPr>
          <w:rFonts w:eastAsia="方正仿宋_GBK"/>
        </w:rPr>
      </w:pPr>
      <w:r>
        <w:rPr>
          <w:rFonts w:eastAsia="方正仿宋_GBK"/>
        </w:rPr>
        <w:footnoteRef/>
      </w:r>
      <w:r>
        <w:rPr>
          <w:rFonts w:eastAsia="方正仿宋_GBK"/>
        </w:rPr>
        <w:t>《中华人民共和国安全生产法》第</w:t>
      </w:r>
      <w:r>
        <w:rPr>
          <w:rFonts w:hint="eastAsia" w:eastAsia="方正仿宋_GBK"/>
        </w:rPr>
        <w:t>22</w:t>
      </w:r>
      <w:r>
        <w:rPr>
          <w:rFonts w:eastAsia="方正仿宋_GBK"/>
        </w:rPr>
        <w:t>条</w:t>
      </w:r>
      <w:r>
        <w:rPr>
          <w:rFonts w:hint="eastAsia" w:eastAsia="方正仿宋_GBK"/>
        </w:rPr>
        <w:t>第2款</w:t>
      </w:r>
      <w:r>
        <w:rPr>
          <w:rFonts w:eastAsia="方正仿宋_GBK"/>
        </w:rPr>
        <w:t>规定</w:t>
      </w:r>
      <w:r>
        <w:rPr>
          <w:rFonts w:hint="eastAsia" w:eastAsia="方正仿宋_GBK"/>
        </w:rPr>
        <w:t>：</w:t>
      </w:r>
      <w:r>
        <w:rPr>
          <w:rFonts w:eastAsia="方正仿宋_GBK"/>
        </w:rPr>
        <w:t>生产经营单位应当建立相应的机制，加强对</w:t>
      </w:r>
      <w:r>
        <w:rPr>
          <w:rFonts w:hint="eastAsia" w:eastAsia="方正仿宋_GBK"/>
        </w:rPr>
        <w:t>全员</w:t>
      </w:r>
      <w:r>
        <w:rPr>
          <w:rFonts w:eastAsia="方正仿宋_GBK"/>
        </w:rPr>
        <w:t>安全生产责任制落实情况的监督考核，保证安全生产责任制的落实。</w:t>
      </w:r>
    </w:p>
  </w:footnote>
  <w:footnote w:id="8">
    <w:p>
      <w:pPr>
        <w:pStyle w:val="18"/>
        <w:jc w:val="both"/>
        <w:rPr>
          <w:rFonts w:eastAsia="方正仿宋_GBK"/>
        </w:rPr>
      </w:pPr>
      <w:r>
        <w:rPr>
          <w:rFonts w:eastAsia="方正仿宋_GBK"/>
        </w:rPr>
        <w:footnoteRef/>
      </w:r>
      <w:r>
        <w:rPr>
          <w:rFonts w:eastAsia="方正仿宋_GBK"/>
        </w:rPr>
        <w:t>《中华人民共和国安全生产法》第</w:t>
      </w:r>
      <w:r>
        <w:rPr>
          <w:rFonts w:hint="eastAsia" w:eastAsia="方正仿宋_GBK"/>
        </w:rPr>
        <w:t>58</w:t>
      </w:r>
      <w:r>
        <w:rPr>
          <w:rFonts w:eastAsia="方正仿宋_GBK"/>
        </w:rPr>
        <w:t>条规定：从业人员应当接受安全生产教育和培训，掌握本职工作所需的安全生产知识，提高安全生产技能，增强事故预防和应急处理能力。</w:t>
      </w:r>
    </w:p>
  </w:footnote>
  <w:footnote w:id="9">
    <w:p>
      <w:pPr>
        <w:pStyle w:val="18"/>
        <w:jc w:val="both"/>
        <w:rPr>
          <w:rFonts w:eastAsia="方正仿宋_GBK"/>
        </w:rPr>
      </w:pPr>
      <w:r>
        <w:rPr>
          <w:rFonts w:eastAsia="方正仿宋_GBK"/>
        </w:rPr>
        <w:footnoteRef/>
      </w:r>
      <w:r>
        <w:rPr>
          <w:rFonts w:eastAsia="方正仿宋_GBK"/>
        </w:rPr>
        <w:t>《工贸企业有限空间作业安全管理与监督暂行规定》（国家安全生产监督管理总局令第59号）第</w:t>
      </w:r>
      <w:r>
        <w:rPr>
          <w:rFonts w:hint="eastAsia" w:eastAsia="方正仿宋_GBK"/>
        </w:rPr>
        <w:t>8</w:t>
      </w:r>
      <w:r>
        <w:rPr>
          <w:rFonts w:eastAsia="方正仿宋_GBK"/>
        </w:rPr>
        <w:t>条规定：</w:t>
      </w:r>
      <w:r>
        <w:rPr>
          <w:rFonts w:hint="eastAsia" w:eastAsia="方正仿宋_GBK"/>
        </w:rPr>
        <w:t>工贸企业实施有限空间作业前，应当对作业环境进行评估，分析存在的危险有害因素，提出消除、控制危害的措施，制定有限空间作业方案，并经本企业安全生产管理人员审核、负责人批准。</w:t>
      </w:r>
    </w:p>
  </w:footnote>
  <w:footnote w:id="10">
    <w:p>
      <w:pPr>
        <w:pStyle w:val="18"/>
        <w:jc w:val="both"/>
      </w:pPr>
      <w:r>
        <w:rPr>
          <w:rFonts w:eastAsia="方正仿宋_GBK"/>
        </w:rPr>
        <w:footnoteRef/>
      </w:r>
      <w:r>
        <w:rPr>
          <w:rFonts w:eastAsia="方正仿宋_GBK"/>
        </w:rPr>
        <w:t>《工贸企业有限空间作业安全管理与监督暂行规定》（国家安全生产监督管理总局令第59号）第6条规定：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p>
  </w:footnote>
  <w:footnote w:id="11">
    <w:p>
      <w:pPr>
        <w:pStyle w:val="18"/>
        <w:rPr>
          <w:rFonts w:eastAsia="方正仿宋_GBK"/>
        </w:rPr>
      </w:pPr>
      <w:r>
        <w:rPr>
          <w:rFonts w:eastAsia="方正仿宋_GBK"/>
        </w:rPr>
        <w:footnoteRef/>
      </w:r>
      <w:r>
        <w:rPr>
          <w:rFonts w:eastAsia="方正仿宋_GBK"/>
        </w:rPr>
        <w:t>《中华人民共和国安全生产法》第</w:t>
      </w:r>
      <w:r>
        <w:rPr>
          <w:rFonts w:hint="eastAsia" w:eastAsia="方正仿宋_GBK"/>
        </w:rPr>
        <w:t>95</w:t>
      </w:r>
      <w:r>
        <w:rPr>
          <w:rFonts w:eastAsia="方正仿宋_GBK"/>
        </w:rPr>
        <w:t>条</w:t>
      </w:r>
      <w:r>
        <w:rPr>
          <w:rFonts w:hint="eastAsia" w:eastAsia="方正仿宋_GBK"/>
        </w:rPr>
        <w:t>第1项</w:t>
      </w:r>
      <w:r>
        <w:rPr>
          <w:rFonts w:eastAsia="方正仿宋_GBK"/>
        </w:rPr>
        <w:t>规定：</w:t>
      </w:r>
      <w:r>
        <w:rPr>
          <w:rFonts w:hint="eastAsia" w:eastAsia="方正仿宋_GBK"/>
        </w:rPr>
        <w:t>生产经营单位的主要负责人未履行本法规定的安全生产管理职责，导致发生生产安全事故的，由应急管理部门依照下列规定处以罚款:（一）发生一般事故的，处上一年年收入百分之四十的罚款；</w:t>
      </w:r>
    </w:p>
  </w:footnote>
  <w:footnote w:id="12">
    <w:p>
      <w:pPr>
        <w:pStyle w:val="18"/>
        <w:jc w:val="both"/>
      </w:pPr>
      <w:r>
        <w:rPr>
          <w:rFonts w:eastAsia="方正仿宋_GBK"/>
        </w:rPr>
        <w:footnoteRef/>
      </w:r>
      <w:r>
        <w:rPr>
          <w:rFonts w:eastAsia="方正仿宋_GBK"/>
        </w:rPr>
        <w:t>《中华人民共和国安全生产法》第</w:t>
      </w:r>
      <w:r>
        <w:rPr>
          <w:rFonts w:hint="eastAsia" w:eastAsia="方正仿宋_GBK"/>
        </w:rPr>
        <w:t>114</w:t>
      </w:r>
      <w:r>
        <w:rPr>
          <w:rFonts w:eastAsia="方正仿宋_GBK"/>
        </w:rPr>
        <w:t>条第</w:t>
      </w:r>
      <w:r>
        <w:rPr>
          <w:rFonts w:hint="eastAsia" w:eastAsia="方正仿宋_GBK"/>
        </w:rPr>
        <w:t>1项</w:t>
      </w:r>
      <w:r>
        <w:rPr>
          <w:rFonts w:eastAsia="方正仿宋_GBK"/>
        </w:rPr>
        <w:t>规定：</w:t>
      </w:r>
      <w:r>
        <w:rPr>
          <w:rFonts w:hint="eastAsia" w:eastAsia="方正仿宋_GBK"/>
        </w:rPr>
        <w:t>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numRestart w:val="eachPage"/>
    <w:footnote w:id="26"/>
    <w:footnote w:id="2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4NTRlZDQxNTg3OTQ5MDJmMTY2MDQxYzMwMzVjMzYifQ=="/>
  </w:docVars>
  <w:rsids>
    <w:rsidRoot w:val="00B60BDB"/>
    <w:rsid w:val="00002155"/>
    <w:rsid w:val="00004A3A"/>
    <w:rsid w:val="00004BC9"/>
    <w:rsid w:val="0000702D"/>
    <w:rsid w:val="0001091E"/>
    <w:rsid w:val="00010CAC"/>
    <w:rsid w:val="000123F7"/>
    <w:rsid w:val="0001448D"/>
    <w:rsid w:val="00014821"/>
    <w:rsid w:val="00015A14"/>
    <w:rsid w:val="000202C9"/>
    <w:rsid w:val="0002179A"/>
    <w:rsid w:val="00021E3D"/>
    <w:rsid w:val="000239F6"/>
    <w:rsid w:val="00023E5F"/>
    <w:rsid w:val="00026C27"/>
    <w:rsid w:val="00030E21"/>
    <w:rsid w:val="00031C4A"/>
    <w:rsid w:val="00035A26"/>
    <w:rsid w:val="00035A8A"/>
    <w:rsid w:val="00037691"/>
    <w:rsid w:val="0004034B"/>
    <w:rsid w:val="0004272A"/>
    <w:rsid w:val="00042B05"/>
    <w:rsid w:val="00042EEF"/>
    <w:rsid w:val="00050398"/>
    <w:rsid w:val="0005189F"/>
    <w:rsid w:val="00055134"/>
    <w:rsid w:val="00056214"/>
    <w:rsid w:val="00057E10"/>
    <w:rsid w:val="00060B53"/>
    <w:rsid w:val="00061F55"/>
    <w:rsid w:val="00063DB3"/>
    <w:rsid w:val="000710FD"/>
    <w:rsid w:val="000721C7"/>
    <w:rsid w:val="00072660"/>
    <w:rsid w:val="00074E45"/>
    <w:rsid w:val="0008054A"/>
    <w:rsid w:val="0008200D"/>
    <w:rsid w:val="00082EEB"/>
    <w:rsid w:val="000831D8"/>
    <w:rsid w:val="00084BC4"/>
    <w:rsid w:val="000879B9"/>
    <w:rsid w:val="00091B5D"/>
    <w:rsid w:val="00093558"/>
    <w:rsid w:val="000963E1"/>
    <w:rsid w:val="00096AA4"/>
    <w:rsid w:val="000971F1"/>
    <w:rsid w:val="00097C0A"/>
    <w:rsid w:val="000A04F8"/>
    <w:rsid w:val="000A2AF8"/>
    <w:rsid w:val="000A4753"/>
    <w:rsid w:val="000A5525"/>
    <w:rsid w:val="000A7D83"/>
    <w:rsid w:val="000B22DA"/>
    <w:rsid w:val="000B531A"/>
    <w:rsid w:val="000C25FB"/>
    <w:rsid w:val="000C2F1E"/>
    <w:rsid w:val="000C7D7D"/>
    <w:rsid w:val="000D15C9"/>
    <w:rsid w:val="000D230B"/>
    <w:rsid w:val="000D5FAC"/>
    <w:rsid w:val="000E37D8"/>
    <w:rsid w:val="000E47D4"/>
    <w:rsid w:val="000E550E"/>
    <w:rsid w:val="000F1873"/>
    <w:rsid w:val="000F3554"/>
    <w:rsid w:val="000F4EEB"/>
    <w:rsid w:val="000F66D0"/>
    <w:rsid w:val="000F672D"/>
    <w:rsid w:val="000F672E"/>
    <w:rsid w:val="000F78BB"/>
    <w:rsid w:val="001001ED"/>
    <w:rsid w:val="00100D7E"/>
    <w:rsid w:val="00101496"/>
    <w:rsid w:val="00101C21"/>
    <w:rsid w:val="0010277C"/>
    <w:rsid w:val="00103273"/>
    <w:rsid w:val="00104655"/>
    <w:rsid w:val="00106D76"/>
    <w:rsid w:val="0011078B"/>
    <w:rsid w:val="00111538"/>
    <w:rsid w:val="00111C0F"/>
    <w:rsid w:val="00116205"/>
    <w:rsid w:val="0012103D"/>
    <w:rsid w:val="00121AFB"/>
    <w:rsid w:val="00125DF9"/>
    <w:rsid w:val="00130BD4"/>
    <w:rsid w:val="001312A5"/>
    <w:rsid w:val="001313B2"/>
    <w:rsid w:val="00134BE1"/>
    <w:rsid w:val="00136BEA"/>
    <w:rsid w:val="00137048"/>
    <w:rsid w:val="00141B5C"/>
    <w:rsid w:val="00143734"/>
    <w:rsid w:val="00143EEE"/>
    <w:rsid w:val="00145A3F"/>
    <w:rsid w:val="0014799D"/>
    <w:rsid w:val="0015086E"/>
    <w:rsid w:val="00151750"/>
    <w:rsid w:val="001528CD"/>
    <w:rsid w:val="0015303E"/>
    <w:rsid w:val="001576A2"/>
    <w:rsid w:val="00162CAD"/>
    <w:rsid w:val="00163E00"/>
    <w:rsid w:val="0016478D"/>
    <w:rsid w:val="00166FEF"/>
    <w:rsid w:val="00170310"/>
    <w:rsid w:val="00174C68"/>
    <w:rsid w:val="00176C52"/>
    <w:rsid w:val="00181A27"/>
    <w:rsid w:val="00182433"/>
    <w:rsid w:val="00182631"/>
    <w:rsid w:val="00184E64"/>
    <w:rsid w:val="001852CF"/>
    <w:rsid w:val="00186915"/>
    <w:rsid w:val="0018782F"/>
    <w:rsid w:val="001902E7"/>
    <w:rsid w:val="00191A11"/>
    <w:rsid w:val="00192850"/>
    <w:rsid w:val="00192E97"/>
    <w:rsid w:val="00194D2A"/>
    <w:rsid w:val="001972FA"/>
    <w:rsid w:val="0019730E"/>
    <w:rsid w:val="001A038B"/>
    <w:rsid w:val="001A0725"/>
    <w:rsid w:val="001A1FAB"/>
    <w:rsid w:val="001A5077"/>
    <w:rsid w:val="001A583E"/>
    <w:rsid w:val="001B1C58"/>
    <w:rsid w:val="001B20EF"/>
    <w:rsid w:val="001B22FA"/>
    <w:rsid w:val="001B295D"/>
    <w:rsid w:val="001B5A56"/>
    <w:rsid w:val="001B7289"/>
    <w:rsid w:val="001C01E1"/>
    <w:rsid w:val="001C0305"/>
    <w:rsid w:val="001C45AD"/>
    <w:rsid w:val="001C50D4"/>
    <w:rsid w:val="001C548C"/>
    <w:rsid w:val="001C6EF7"/>
    <w:rsid w:val="001C73B5"/>
    <w:rsid w:val="001D1B93"/>
    <w:rsid w:val="001D20B8"/>
    <w:rsid w:val="001D40E4"/>
    <w:rsid w:val="001D459F"/>
    <w:rsid w:val="001D51C8"/>
    <w:rsid w:val="001E0D4E"/>
    <w:rsid w:val="001E1280"/>
    <w:rsid w:val="001E4DE5"/>
    <w:rsid w:val="001E57C5"/>
    <w:rsid w:val="001E5AA5"/>
    <w:rsid w:val="001F0351"/>
    <w:rsid w:val="001F31A0"/>
    <w:rsid w:val="001F52DE"/>
    <w:rsid w:val="001F57C7"/>
    <w:rsid w:val="001F7217"/>
    <w:rsid w:val="001F74C5"/>
    <w:rsid w:val="00202008"/>
    <w:rsid w:val="00204D5F"/>
    <w:rsid w:val="00207668"/>
    <w:rsid w:val="00210C62"/>
    <w:rsid w:val="002142D5"/>
    <w:rsid w:val="002167C9"/>
    <w:rsid w:val="00220855"/>
    <w:rsid w:val="00221ECA"/>
    <w:rsid w:val="00223EBC"/>
    <w:rsid w:val="0022462D"/>
    <w:rsid w:val="00225847"/>
    <w:rsid w:val="0022753F"/>
    <w:rsid w:val="0023094F"/>
    <w:rsid w:val="00230EEE"/>
    <w:rsid w:val="00232702"/>
    <w:rsid w:val="00232B64"/>
    <w:rsid w:val="00233A15"/>
    <w:rsid w:val="00234268"/>
    <w:rsid w:val="0023533D"/>
    <w:rsid w:val="0023664B"/>
    <w:rsid w:val="002374FB"/>
    <w:rsid w:val="00242F96"/>
    <w:rsid w:val="00243188"/>
    <w:rsid w:val="0024477B"/>
    <w:rsid w:val="002452AB"/>
    <w:rsid w:val="00250438"/>
    <w:rsid w:val="00250F2B"/>
    <w:rsid w:val="00251C77"/>
    <w:rsid w:val="00252A21"/>
    <w:rsid w:val="00254384"/>
    <w:rsid w:val="002549A5"/>
    <w:rsid w:val="00255149"/>
    <w:rsid w:val="002553EA"/>
    <w:rsid w:val="002568EF"/>
    <w:rsid w:val="00256BEE"/>
    <w:rsid w:val="00256F5A"/>
    <w:rsid w:val="00263809"/>
    <w:rsid w:val="00267D0F"/>
    <w:rsid w:val="0027032D"/>
    <w:rsid w:val="00270511"/>
    <w:rsid w:val="00271A24"/>
    <w:rsid w:val="002737D0"/>
    <w:rsid w:val="00274228"/>
    <w:rsid w:val="0027499D"/>
    <w:rsid w:val="00275759"/>
    <w:rsid w:val="002758AA"/>
    <w:rsid w:val="00277A70"/>
    <w:rsid w:val="002803CB"/>
    <w:rsid w:val="00280502"/>
    <w:rsid w:val="00284990"/>
    <w:rsid w:val="00284C6A"/>
    <w:rsid w:val="00287C11"/>
    <w:rsid w:val="002925C0"/>
    <w:rsid w:val="00292B6C"/>
    <w:rsid w:val="002932CC"/>
    <w:rsid w:val="00293F1E"/>
    <w:rsid w:val="00293FA1"/>
    <w:rsid w:val="002A06CF"/>
    <w:rsid w:val="002A0F97"/>
    <w:rsid w:val="002A3D82"/>
    <w:rsid w:val="002A4EE2"/>
    <w:rsid w:val="002B0971"/>
    <w:rsid w:val="002B2460"/>
    <w:rsid w:val="002B4C10"/>
    <w:rsid w:val="002B5A61"/>
    <w:rsid w:val="002B69F8"/>
    <w:rsid w:val="002B7C75"/>
    <w:rsid w:val="002C0E41"/>
    <w:rsid w:val="002C10F4"/>
    <w:rsid w:val="002C1450"/>
    <w:rsid w:val="002C18CD"/>
    <w:rsid w:val="002C1FF7"/>
    <w:rsid w:val="002C23AC"/>
    <w:rsid w:val="002C36CA"/>
    <w:rsid w:val="002C44E4"/>
    <w:rsid w:val="002C493C"/>
    <w:rsid w:val="002C4CEA"/>
    <w:rsid w:val="002C634F"/>
    <w:rsid w:val="002C6DBF"/>
    <w:rsid w:val="002D0125"/>
    <w:rsid w:val="002D1501"/>
    <w:rsid w:val="002D33FE"/>
    <w:rsid w:val="002D3FDC"/>
    <w:rsid w:val="002D42CB"/>
    <w:rsid w:val="002E0265"/>
    <w:rsid w:val="002E202A"/>
    <w:rsid w:val="002E48F0"/>
    <w:rsid w:val="002E5455"/>
    <w:rsid w:val="002F3F0A"/>
    <w:rsid w:val="002F4D56"/>
    <w:rsid w:val="002F531A"/>
    <w:rsid w:val="00300152"/>
    <w:rsid w:val="00300F35"/>
    <w:rsid w:val="00301F9E"/>
    <w:rsid w:val="00303193"/>
    <w:rsid w:val="00306A22"/>
    <w:rsid w:val="00306C85"/>
    <w:rsid w:val="00311B10"/>
    <w:rsid w:val="00317181"/>
    <w:rsid w:val="0031739A"/>
    <w:rsid w:val="0032004C"/>
    <w:rsid w:val="00320917"/>
    <w:rsid w:val="00322A35"/>
    <w:rsid w:val="00324327"/>
    <w:rsid w:val="00326C60"/>
    <w:rsid w:val="00330DAE"/>
    <w:rsid w:val="00332229"/>
    <w:rsid w:val="00334739"/>
    <w:rsid w:val="00335B25"/>
    <w:rsid w:val="00335EDA"/>
    <w:rsid w:val="003375B3"/>
    <w:rsid w:val="00341893"/>
    <w:rsid w:val="00347878"/>
    <w:rsid w:val="0035236B"/>
    <w:rsid w:val="00352DFC"/>
    <w:rsid w:val="003561E9"/>
    <w:rsid w:val="003578A0"/>
    <w:rsid w:val="00357F1B"/>
    <w:rsid w:val="003605FA"/>
    <w:rsid w:val="00362CA9"/>
    <w:rsid w:val="00363FD9"/>
    <w:rsid w:val="00363FDE"/>
    <w:rsid w:val="0036446C"/>
    <w:rsid w:val="00366184"/>
    <w:rsid w:val="00366737"/>
    <w:rsid w:val="00366B94"/>
    <w:rsid w:val="00367649"/>
    <w:rsid w:val="00367B5A"/>
    <w:rsid w:val="003751A7"/>
    <w:rsid w:val="00380C12"/>
    <w:rsid w:val="00382E9D"/>
    <w:rsid w:val="003840E6"/>
    <w:rsid w:val="0038447E"/>
    <w:rsid w:val="003857E2"/>
    <w:rsid w:val="00392154"/>
    <w:rsid w:val="0039367F"/>
    <w:rsid w:val="00393F1C"/>
    <w:rsid w:val="00396332"/>
    <w:rsid w:val="003A4C7F"/>
    <w:rsid w:val="003A598E"/>
    <w:rsid w:val="003A6BA2"/>
    <w:rsid w:val="003A7309"/>
    <w:rsid w:val="003B0F43"/>
    <w:rsid w:val="003B49E8"/>
    <w:rsid w:val="003B72D6"/>
    <w:rsid w:val="003C003D"/>
    <w:rsid w:val="003C047A"/>
    <w:rsid w:val="003C0527"/>
    <w:rsid w:val="003C3720"/>
    <w:rsid w:val="003C400C"/>
    <w:rsid w:val="003C40E1"/>
    <w:rsid w:val="003C4DE8"/>
    <w:rsid w:val="003C4E5E"/>
    <w:rsid w:val="003C5837"/>
    <w:rsid w:val="003C5C04"/>
    <w:rsid w:val="003C7019"/>
    <w:rsid w:val="003C78CE"/>
    <w:rsid w:val="003C7F60"/>
    <w:rsid w:val="003D16F1"/>
    <w:rsid w:val="003D29E3"/>
    <w:rsid w:val="003D565F"/>
    <w:rsid w:val="003D5D30"/>
    <w:rsid w:val="003D5E0A"/>
    <w:rsid w:val="003D70C4"/>
    <w:rsid w:val="003E1927"/>
    <w:rsid w:val="003E4439"/>
    <w:rsid w:val="003E469E"/>
    <w:rsid w:val="003E4D1A"/>
    <w:rsid w:val="003F0451"/>
    <w:rsid w:val="003F5ABE"/>
    <w:rsid w:val="003F6552"/>
    <w:rsid w:val="00402056"/>
    <w:rsid w:val="0040212E"/>
    <w:rsid w:val="0040328A"/>
    <w:rsid w:val="00403BF4"/>
    <w:rsid w:val="00406857"/>
    <w:rsid w:val="00412353"/>
    <w:rsid w:val="00412ECF"/>
    <w:rsid w:val="004135CA"/>
    <w:rsid w:val="004143FA"/>
    <w:rsid w:val="00414BED"/>
    <w:rsid w:val="0041683C"/>
    <w:rsid w:val="00416964"/>
    <w:rsid w:val="00420394"/>
    <w:rsid w:val="00422B12"/>
    <w:rsid w:val="00423A65"/>
    <w:rsid w:val="00423CB6"/>
    <w:rsid w:val="0042734B"/>
    <w:rsid w:val="00434860"/>
    <w:rsid w:val="00436B44"/>
    <w:rsid w:val="00441DD2"/>
    <w:rsid w:val="00450592"/>
    <w:rsid w:val="00450C0D"/>
    <w:rsid w:val="004535E8"/>
    <w:rsid w:val="0045360F"/>
    <w:rsid w:val="0045574A"/>
    <w:rsid w:val="00460DD2"/>
    <w:rsid w:val="004621A9"/>
    <w:rsid w:val="0046250D"/>
    <w:rsid w:val="00464530"/>
    <w:rsid w:val="00465775"/>
    <w:rsid w:val="004659CA"/>
    <w:rsid w:val="00465F8D"/>
    <w:rsid w:val="004707C0"/>
    <w:rsid w:val="00470B6A"/>
    <w:rsid w:val="0047410C"/>
    <w:rsid w:val="00474A1D"/>
    <w:rsid w:val="004767DF"/>
    <w:rsid w:val="00477A22"/>
    <w:rsid w:val="00481A94"/>
    <w:rsid w:val="00482F2C"/>
    <w:rsid w:val="00484185"/>
    <w:rsid w:val="004854FF"/>
    <w:rsid w:val="00486A1E"/>
    <w:rsid w:val="00492345"/>
    <w:rsid w:val="00493640"/>
    <w:rsid w:val="00493E9A"/>
    <w:rsid w:val="004954EB"/>
    <w:rsid w:val="004968FF"/>
    <w:rsid w:val="004A22F5"/>
    <w:rsid w:val="004A2443"/>
    <w:rsid w:val="004A29A4"/>
    <w:rsid w:val="004A3FC5"/>
    <w:rsid w:val="004B07EF"/>
    <w:rsid w:val="004B2185"/>
    <w:rsid w:val="004B2C97"/>
    <w:rsid w:val="004B4334"/>
    <w:rsid w:val="004B75B2"/>
    <w:rsid w:val="004C25C2"/>
    <w:rsid w:val="004D32D5"/>
    <w:rsid w:val="004D4819"/>
    <w:rsid w:val="004D7248"/>
    <w:rsid w:val="004D7FE3"/>
    <w:rsid w:val="004E1D0B"/>
    <w:rsid w:val="004E331D"/>
    <w:rsid w:val="004F1794"/>
    <w:rsid w:val="004F450A"/>
    <w:rsid w:val="004F47B5"/>
    <w:rsid w:val="004F6CD7"/>
    <w:rsid w:val="004F6E20"/>
    <w:rsid w:val="00507EFD"/>
    <w:rsid w:val="0051190C"/>
    <w:rsid w:val="0051211F"/>
    <w:rsid w:val="005144AF"/>
    <w:rsid w:val="005145C4"/>
    <w:rsid w:val="00516AF2"/>
    <w:rsid w:val="00521B4D"/>
    <w:rsid w:val="005224D3"/>
    <w:rsid w:val="0052295E"/>
    <w:rsid w:val="0052492B"/>
    <w:rsid w:val="0052722B"/>
    <w:rsid w:val="00527B40"/>
    <w:rsid w:val="005313A5"/>
    <w:rsid w:val="0053157E"/>
    <w:rsid w:val="0053198F"/>
    <w:rsid w:val="00532C9A"/>
    <w:rsid w:val="005331BD"/>
    <w:rsid w:val="005336E4"/>
    <w:rsid w:val="00536A0A"/>
    <w:rsid w:val="00536C5A"/>
    <w:rsid w:val="00536D5A"/>
    <w:rsid w:val="00536E8B"/>
    <w:rsid w:val="00537128"/>
    <w:rsid w:val="005408B1"/>
    <w:rsid w:val="00547352"/>
    <w:rsid w:val="00550307"/>
    <w:rsid w:val="00552BA0"/>
    <w:rsid w:val="00552C83"/>
    <w:rsid w:val="00552DBE"/>
    <w:rsid w:val="00552FC3"/>
    <w:rsid w:val="005571F4"/>
    <w:rsid w:val="00557BF1"/>
    <w:rsid w:val="00560870"/>
    <w:rsid w:val="00561682"/>
    <w:rsid w:val="0056369D"/>
    <w:rsid w:val="005637EB"/>
    <w:rsid w:val="00563BF9"/>
    <w:rsid w:val="00565412"/>
    <w:rsid w:val="0056578C"/>
    <w:rsid w:val="00570ACF"/>
    <w:rsid w:val="00572944"/>
    <w:rsid w:val="00572CB3"/>
    <w:rsid w:val="00581291"/>
    <w:rsid w:val="005823E3"/>
    <w:rsid w:val="00582F1C"/>
    <w:rsid w:val="00583ACF"/>
    <w:rsid w:val="00583EA5"/>
    <w:rsid w:val="0058680D"/>
    <w:rsid w:val="0059188B"/>
    <w:rsid w:val="005918AF"/>
    <w:rsid w:val="00592927"/>
    <w:rsid w:val="0059308A"/>
    <w:rsid w:val="005938D2"/>
    <w:rsid w:val="0059469F"/>
    <w:rsid w:val="00595362"/>
    <w:rsid w:val="005978EB"/>
    <w:rsid w:val="005A4AEB"/>
    <w:rsid w:val="005A753D"/>
    <w:rsid w:val="005B296E"/>
    <w:rsid w:val="005B53F1"/>
    <w:rsid w:val="005B5803"/>
    <w:rsid w:val="005B59A9"/>
    <w:rsid w:val="005B74E1"/>
    <w:rsid w:val="005B7B60"/>
    <w:rsid w:val="005C5377"/>
    <w:rsid w:val="005C74C2"/>
    <w:rsid w:val="005C7A95"/>
    <w:rsid w:val="005D2199"/>
    <w:rsid w:val="005D6283"/>
    <w:rsid w:val="005D66EC"/>
    <w:rsid w:val="005D7074"/>
    <w:rsid w:val="005D73E5"/>
    <w:rsid w:val="005D7B32"/>
    <w:rsid w:val="005E04C2"/>
    <w:rsid w:val="005E3994"/>
    <w:rsid w:val="005E7BC2"/>
    <w:rsid w:val="005F3928"/>
    <w:rsid w:val="005F6C8F"/>
    <w:rsid w:val="005F756B"/>
    <w:rsid w:val="00607169"/>
    <w:rsid w:val="00607830"/>
    <w:rsid w:val="006079AD"/>
    <w:rsid w:val="006123BE"/>
    <w:rsid w:val="00614A70"/>
    <w:rsid w:val="0061668C"/>
    <w:rsid w:val="00616DDF"/>
    <w:rsid w:val="00617FFB"/>
    <w:rsid w:val="00625356"/>
    <w:rsid w:val="00625F00"/>
    <w:rsid w:val="00626E97"/>
    <w:rsid w:val="00630190"/>
    <w:rsid w:val="0063171B"/>
    <w:rsid w:val="00632687"/>
    <w:rsid w:val="0063456B"/>
    <w:rsid w:val="00635723"/>
    <w:rsid w:val="00645BF5"/>
    <w:rsid w:val="006509EC"/>
    <w:rsid w:val="00655C1D"/>
    <w:rsid w:val="006561AB"/>
    <w:rsid w:val="00656B7C"/>
    <w:rsid w:val="00657A06"/>
    <w:rsid w:val="00662879"/>
    <w:rsid w:val="00664398"/>
    <w:rsid w:val="006671E6"/>
    <w:rsid w:val="0067076A"/>
    <w:rsid w:val="00671DB7"/>
    <w:rsid w:val="006737EE"/>
    <w:rsid w:val="00674044"/>
    <w:rsid w:val="00677322"/>
    <w:rsid w:val="00682C79"/>
    <w:rsid w:val="00682D1C"/>
    <w:rsid w:val="00685B0E"/>
    <w:rsid w:val="00685E81"/>
    <w:rsid w:val="006959AC"/>
    <w:rsid w:val="00697F36"/>
    <w:rsid w:val="006A20DD"/>
    <w:rsid w:val="006A40F3"/>
    <w:rsid w:val="006A5454"/>
    <w:rsid w:val="006A690A"/>
    <w:rsid w:val="006A75D7"/>
    <w:rsid w:val="006B07AD"/>
    <w:rsid w:val="006B135E"/>
    <w:rsid w:val="006B3AE3"/>
    <w:rsid w:val="006B47E3"/>
    <w:rsid w:val="006B79EE"/>
    <w:rsid w:val="006C0B04"/>
    <w:rsid w:val="006C0F63"/>
    <w:rsid w:val="006C491C"/>
    <w:rsid w:val="006C4BCB"/>
    <w:rsid w:val="006C71B3"/>
    <w:rsid w:val="006D1875"/>
    <w:rsid w:val="006D3620"/>
    <w:rsid w:val="006D3A99"/>
    <w:rsid w:val="006D503D"/>
    <w:rsid w:val="006D76D2"/>
    <w:rsid w:val="006D7A84"/>
    <w:rsid w:val="006D7DE7"/>
    <w:rsid w:val="006D7EC7"/>
    <w:rsid w:val="006E0401"/>
    <w:rsid w:val="006E2C7D"/>
    <w:rsid w:val="006E4DED"/>
    <w:rsid w:val="006E58D0"/>
    <w:rsid w:val="006E5CC4"/>
    <w:rsid w:val="006E5F5B"/>
    <w:rsid w:val="006E6EF3"/>
    <w:rsid w:val="006E77E7"/>
    <w:rsid w:val="006F0068"/>
    <w:rsid w:val="006F5471"/>
    <w:rsid w:val="006F613F"/>
    <w:rsid w:val="006F7130"/>
    <w:rsid w:val="00700405"/>
    <w:rsid w:val="00701863"/>
    <w:rsid w:val="00701A5E"/>
    <w:rsid w:val="0070202A"/>
    <w:rsid w:val="007067C8"/>
    <w:rsid w:val="00707316"/>
    <w:rsid w:val="00710015"/>
    <w:rsid w:val="0071032A"/>
    <w:rsid w:val="00710A63"/>
    <w:rsid w:val="00710B4C"/>
    <w:rsid w:val="00711ED8"/>
    <w:rsid w:val="00712FEA"/>
    <w:rsid w:val="00720F98"/>
    <w:rsid w:val="0072105D"/>
    <w:rsid w:val="0072355A"/>
    <w:rsid w:val="007252A2"/>
    <w:rsid w:val="0072570E"/>
    <w:rsid w:val="0072770E"/>
    <w:rsid w:val="00731A77"/>
    <w:rsid w:val="00734822"/>
    <w:rsid w:val="00735AFA"/>
    <w:rsid w:val="0074124F"/>
    <w:rsid w:val="0074193D"/>
    <w:rsid w:val="007422B5"/>
    <w:rsid w:val="00742ADC"/>
    <w:rsid w:val="007456E8"/>
    <w:rsid w:val="00745E66"/>
    <w:rsid w:val="00747281"/>
    <w:rsid w:val="00756822"/>
    <w:rsid w:val="0076123E"/>
    <w:rsid w:val="00763826"/>
    <w:rsid w:val="00764306"/>
    <w:rsid w:val="007667BF"/>
    <w:rsid w:val="00767D66"/>
    <w:rsid w:val="007706A8"/>
    <w:rsid w:val="00771046"/>
    <w:rsid w:val="0077382B"/>
    <w:rsid w:val="00773964"/>
    <w:rsid w:val="00773E00"/>
    <w:rsid w:val="007757DF"/>
    <w:rsid w:val="007775BC"/>
    <w:rsid w:val="00782495"/>
    <w:rsid w:val="00782B2B"/>
    <w:rsid w:val="007837AF"/>
    <w:rsid w:val="00783EAD"/>
    <w:rsid w:val="00785E17"/>
    <w:rsid w:val="00787DED"/>
    <w:rsid w:val="00790F3C"/>
    <w:rsid w:val="00790FBF"/>
    <w:rsid w:val="007920D9"/>
    <w:rsid w:val="00793DCF"/>
    <w:rsid w:val="00795D1D"/>
    <w:rsid w:val="007971E4"/>
    <w:rsid w:val="007A2B4C"/>
    <w:rsid w:val="007A3680"/>
    <w:rsid w:val="007A409A"/>
    <w:rsid w:val="007A4737"/>
    <w:rsid w:val="007A5287"/>
    <w:rsid w:val="007A5C02"/>
    <w:rsid w:val="007A78BB"/>
    <w:rsid w:val="007B2951"/>
    <w:rsid w:val="007B3E4F"/>
    <w:rsid w:val="007B6873"/>
    <w:rsid w:val="007C6FB2"/>
    <w:rsid w:val="007D1718"/>
    <w:rsid w:val="007D4883"/>
    <w:rsid w:val="007E0855"/>
    <w:rsid w:val="007E0EFF"/>
    <w:rsid w:val="007E1256"/>
    <w:rsid w:val="007E41D6"/>
    <w:rsid w:val="007F1A88"/>
    <w:rsid w:val="007F213D"/>
    <w:rsid w:val="007F419F"/>
    <w:rsid w:val="007F43EE"/>
    <w:rsid w:val="007F4A37"/>
    <w:rsid w:val="007F5582"/>
    <w:rsid w:val="007F5D0A"/>
    <w:rsid w:val="00801552"/>
    <w:rsid w:val="00801B2C"/>
    <w:rsid w:val="008022CA"/>
    <w:rsid w:val="0080301B"/>
    <w:rsid w:val="008037CD"/>
    <w:rsid w:val="00804BD0"/>
    <w:rsid w:val="008077D6"/>
    <w:rsid w:val="00810602"/>
    <w:rsid w:val="00810754"/>
    <w:rsid w:val="0081189D"/>
    <w:rsid w:val="008128F7"/>
    <w:rsid w:val="008131F7"/>
    <w:rsid w:val="00814A9E"/>
    <w:rsid w:val="008173C3"/>
    <w:rsid w:val="00820E15"/>
    <w:rsid w:val="008223D4"/>
    <w:rsid w:val="00824C9C"/>
    <w:rsid w:val="008256FD"/>
    <w:rsid w:val="00827049"/>
    <w:rsid w:val="00831537"/>
    <w:rsid w:val="008315D1"/>
    <w:rsid w:val="00832B2B"/>
    <w:rsid w:val="008335B0"/>
    <w:rsid w:val="00833F55"/>
    <w:rsid w:val="0083400D"/>
    <w:rsid w:val="0083440F"/>
    <w:rsid w:val="008413C0"/>
    <w:rsid w:val="00842892"/>
    <w:rsid w:val="00843D13"/>
    <w:rsid w:val="00846A43"/>
    <w:rsid w:val="0085040B"/>
    <w:rsid w:val="0085239F"/>
    <w:rsid w:val="00852548"/>
    <w:rsid w:val="0085267E"/>
    <w:rsid w:val="0085560D"/>
    <w:rsid w:val="00857808"/>
    <w:rsid w:val="0086149D"/>
    <w:rsid w:val="00861B9E"/>
    <w:rsid w:val="00867400"/>
    <w:rsid w:val="008736FF"/>
    <w:rsid w:val="00877000"/>
    <w:rsid w:val="00880B87"/>
    <w:rsid w:val="00881796"/>
    <w:rsid w:val="00882B9F"/>
    <w:rsid w:val="00882E71"/>
    <w:rsid w:val="00883EA6"/>
    <w:rsid w:val="008840BF"/>
    <w:rsid w:val="0088414D"/>
    <w:rsid w:val="00884164"/>
    <w:rsid w:val="00884B63"/>
    <w:rsid w:val="00885739"/>
    <w:rsid w:val="00885775"/>
    <w:rsid w:val="00887950"/>
    <w:rsid w:val="008900BC"/>
    <w:rsid w:val="00896AB9"/>
    <w:rsid w:val="008A0D3B"/>
    <w:rsid w:val="008A188D"/>
    <w:rsid w:val="008A4847"/>
    <w:rsid w:val="008A4A52"/>
    <w:rsid w:val="008B14B2"/>
    <w:rsid w:val="008B2EC6"/>
    <w:rsid w:val="008B4747"/>
    <w:rsid w:val="008B4A8C"/>
    <w:rsid w:val="008B5A86"/>
    <w:rsid w:val="008B5D2B"/>
    <w:rsid w:val="008B7192"/>
    <w:rsid w:val="008B7638"/>
    <w:rsid w:val="008B79AE"/>
    <w:rsid w:val="008C23BD"/>
    <w:rsid w:val="008C3F3C"/>
    <w:rsid w:val="008C4460"/>
    <w:rsid w:val="008C48F4"/>
    <w:rsid w:val="008C762A"/>
    <w:rsid w:val="008D3786"/>
    <w:rsid w:val="008D7860"/>
    <w:rsid w:val="008D7E25"/>
    <w:rsid w:val="008E174B"/>
    <w:rsid w:val="008E49F0"/>
    <w:rsid w:val="008E67BC"/>
    <w:rsid w:val="008E76F6"/>
    <w:rsid w:val="008E7AEB"/>
    <w:rsid w:val="008F3AD1"/>
    <w:rsid w:val="008F4741"/>
    <w:rsid w:val="008F4BE2"/>
    <w:rsid w:val="008F6E03"/>
    <w:rsid w:val="008F7503"/>
    <w:rsid w:val="008F7B37"/>
    <w:rsid w:val="0092432F"/>
    <w:rsid w:val="009254B6"/>
    <w:rsid w:val="00927EAD"/>
    <w:rsid w:val="00930665"/>
    <w:rsid w:val="0093295D"/>
    <w:rsid w:val="00933BDC"/>
    <w:rsid w:val="00935161"/>
    <w:rsid w:val="009355FB"/>
    <w:rsid w:val="00936013"/>
    <w:rsid w:val="00937061"/>
    <w:rsid w:val="009411A3"/>
    <w:rsid w:val="009416EE"/>
    <w:rsid w:val="0094503E"/>
    <w:rsid w:val="00945470"/>
    <w:rsid w:val="0095030F"/>
    <w:rsid w:val="00951387"/>
    <w:rsid w:val="00951631"/>
    <w:rsid w:val="00957167"/>
    <w:rsid w:val="00957C3C"/>
    <w:rsid w:val="00961C24"/>
    <w:rsid w:val="00971980"/>
    <w:rsid w:val="00973785"/>
    <w:rsid w:val="009764B2"/>
    <w:rsid w:val="009819BD"/>
    <w:rsid w:val="009820A0"/>
    <w:rsid w:val="00982AC2"/>
    <w:rsid w:val="00983267"/>
    <w:rsid w:val="009837B1"/>
    <w:rsid w:val="009837E0"/>
    <w:rsid w:val="0098787F"/>
    <w:rsid w:val="00987B4B"/>
    <w:rsid w:val="00991AB5"/>
    <w:rsid w:val="00991D0D"/>
    <w:rsid w:val="009A051C"/>
    <w:rsid w:val="009A11C2"/>
    <w:rsid w:val="009A3948"/>
    <w:rsid w:val="009A41A2"/>
    <w:rsid w:val="009A4EB0"/>
    <w:rsid w:val="009A52BF"/>
    <w:rsid w:val="009A7F64"/>
    <w:rsid w:val="009B02F2"/>
    <w:rsid w:val="009B107A"/>
    <w:rsid w:val="009B21BC"/>
    <w:rsid w:val="009B3005"/>
    <w:rsid w:val="009B5141"/>
    <w:rsid w:val="009B6952"/>
    <w:rsid w:val="009B7E7A"/>
    <w:rsid w:val="009C03A6"/>
    <w:rsid w:val="009C0F1A"/>
    <w:rsid w:val="009C1AC9"/>
    <w:rsid w:val="009C24F4"/>
    <w:rsid w:val="009C27F3"/>
    <w:rsid w:val="009C3E47"/>
    <w:rsid w:val="009C5FFE"/>
    <w:rsid w:val="009D0199"/>
    <w:rsid w:val="009D0739"/>
    <w:rsid w:val="009D0C3F"/>
    <w:rsid w:val="009D1671"/>
    <w:rsid w:val="009D2B72"/>
    <w:rsid w:val="009D52B7"/>
    <w:rsid w:val="009D5FDF"/>
    <w:rsid w:val="009D6DDB"/>
    <w:rsid w:val="009D78C4"/>
    <w:rsid w:val="009E37CA"/>
    <w:rsid w:val="009E4A11"/>
    <w:rsid w:val="009E61B6"/>
    <w:rsid w:val="009E7083"/>
    <w:rsid w:val="009F03A2"/>
    <w:rsid w:val="009F05A5"/>
    <w:rsid w:val="009F1C2D"/>
    <w:rsid w:val="009F39F0"/>
    <w:rsid w:val="009F4545"/>
    <w:rsid w:val="009F51F1"/>
    <w:rsid w:val="00A033D6"/>
    <w:rsid w:val="00A0441B"/>
    <w:rsid w:val="00A11D73"/>
    <w:rsid w:val="00A1322A"/>
    <w:rsid w:val="00A135BA"/>
    <w:rsid w:val="00A13E1B"/>
    <w:rsid w:val="00A14BB2"/>
    <w:rsid w:val="00A14DED"/>
    <w:rsid w:val="00A14FAC"/>
    <w:rsid w:val="00A1727E"/>
    <w:rsid w:val="00A22983"/>
    <w:rsid w:val="00A25B80"/>
    <w:rsid w:val="00A2644F"/>
    <w:rsid w:val="00A26AF2"/>
    <w:rsid w:val="00A26E0D"/>
    <w:rsid w:val="00A3432B"/>
    <w:rsid w:val="00A35BA3"/>
    <w:rsid w:val="00A3638B"/>
    <w:rsid w:val="00A3639C"/>
    <w:rsid w:val="00A36D61"/>
    <w:rsid w:val="00A40619"/>
    <w:rsid w:val="00A4193A"/>
    <w:rsid w:val="00A43735"/>
    <w:rsid w:val="00A43EFC"/>
    <w:rsid w:val="00A4634D"/>
    <w:rsid w:val="00A47448"/>
    <w:rsid w:val="00A5073F"/>
    <w:rsid w:val="00A5115A"/>
    <w:rsid w:val="00A51971"/>
    <w:rsid w:val="00A54170"/>
    <w:rsid w:val="00A55221"/>
    <w:rsid w:val="00A57E6A"/>
    <w:rsid w:val="00A60543"/>
    <w:rsid w:val="00A6475B"/>
    <w:rsid w:val="00A6551C"/>
    <w:rsid w:val="00A65879"/>
    <w:rsid w:val="00A658E4"/>
    <w:rsid w:val="00A658FC"/>
    <w:rsid w:val="00A65CA3"/>
    <w:rsid w:val="00A67B95"/>
    <w:rsid w:val="00A67FC7"/>
    <w:rsid w:val="00A70CAD"/>
    <w:rsid w:val="00A715C5"/>
    <w:rsid w:val="00A7398C"/>
    <w:rsid w:val="00A74C80"/>
    <w:rsid w:val="00A77BD9"/>
    <w:rsid w:val="00A80029"/>
    <w:rsid w:val="00A80A00"/>
    <w:rsid w:val="00A90014"/>
    <w:rsid w:val="00A92277"/>
    <w:rsid w:val="00A933ED"/>
    <w:rsid w:val="00A93558"/>
    <w:rsid w:val="00A937CD"/>
    <w:rsid w:val="00A94DE1"/>
    <w:rsid w:val="00A95743"/>
    <w:rsid w:val="00AA275A"/>
    <w:rsid w:val="00AA298C"/>
    <w:rsid w:val="00AA49C5"/>
    <w:rsid w:val="00AA7990"/>
    <w:rsid w:val="00AB0281"/>
    <w:rsid w:val="00AB18A3"/>
    <w:rsid w:val="00AB289F"/>
    <w:rsid w:val="00AB4073"/>
    <w:rsid w:val="00AB5BA7"/>
    <w:rsid w:val="00AC02A7"/>
    <w:rsid w:val="00AC1907"/>
    <w:rsid w:val="00AC216B"/>
    <w:rsid w:val="00AC5AE5"/>
    <w:rsid w:val="00AC6AB5"/>
    <w:rsid w:val="00AD12AC"/>
    <w:rsid w:val="00AD168A"/>
    <w:rsid w:val="00AD1728"/>
    <w:rsid w:val="00AD53C8"/>
    <w:rsid w:val="00AD5F04"/>
    <w:rsid w:val="00AD618C"/>
    <w:rsid w:val="00AD70AF"/>
    <w:rsid w:val="00AE11DC"/>
    <w:rsid w:val="00AE23F8"/>
    <w:rsid w:val="00AE788F"/>
    <w:rsid w:val="00AE7DD8"/>
    <w:rsid w:val="00AF0568"/>
    <w:rsid w:val="00AF0B08"/>
    <w:rsid w:val="00AF1180"/>
    <w:rsid w:val="00AF261F"/>
    <w:rsid w:val="00AF3607"/>
    <w:rsid w:val="00AF3C4A"/>
    <w:rsid w:val="00AF4B70"/>
    <w:rsid w:val="00B0290E"/>
    <w:rsid w:val="00B03D61"/>
    <w:rsid w:val="00B04A16"/>
    <w:rsid w:val="00B05E28"/>
    <w:rsid w:val="00B07155"/>
    <w:rsid w:val="00B11B4F"/>
    <w:rsid w:val="00B15648"/>
    <w:rsid w:val="00B21F9D"/>
    <w:rsid w:val="00B23F35"/>
    <w:rsid w:val="00B24821"/>
    <w:rsid w:val="00B27E8D"/>
    <w:rsid w:val="00B3160A"/>
    <w:rsid w:val="00B345CE"/>
    <w:rsid w:val="00B354B0"/>
    <w:rsid w:val="00B378CB"/>
    <w:rsid w:val="00B4059C"/>
    <w:rsid w:val="00B41EF3"/>
    <w:rsid w:val="00B478F8"/>
    <w:rsid w:val="00B506C8"/>
    <w:rsid w:val="00B50D3C"/>
    <w:rsid w:val="00B53E51"/>
    <w:rsid w:val="00B60B7F"/>
    <w:rsid w:val="00B60BDB"/>
    <w:rsid w:val="00B62A1B"/>
    <w:rsid w:val="00B65BE7"/>
    <w:rsid w:val="00B675C8"/>
    <w:rsid w:val="00B7110A"/>
    <w:rsid w:val="00B7202E"/>
    <w:rsid w:val="00B73B70"/>
    <w:rsid w:val="00B7637D"/>
    <w:rsid w:val="00B8069A"/>
    <w:rsid w:val="00B8133C"/>
    <w:rsid w:val="00B841D8"/>
    <w:rsid w:val="00B867F5"/>
    <w:rsid w:val="00B869B8"/>
    <w:rsid w:val="00B87DAD"/>
    <w:rsid w:val="00B930D3"/>
    <w:rsid w:val="00B940B2"/>
    <w:rsid w:val="00B95AB0"/>
    <w:rsid w:val="00B96629"/>
    <w:rsid w:val="00B96C8B"/>
    <w:rsid w:val="00BA004F"/>
    <w:rsid w:val="00BA0D8A"/>
    <w:rsid w:val="00BA136C"/>
    <w:rsid w:val="00BA308B"/>
    <w:rsid w:val="00BA418F"/>
    <w:rsid w:val="00BA48A5"/>
    <w:rsid w:val="00BA62AD"/>
    <w:rsid w:val="00BB1F5B"/>
    <w:rsid w:val="00BB2A7E"/>
    <w:rsid w:val="00BB44BF"/>
    <w:rsid w:val="00BB49AE"/>
    <w:rsid w:val="00BB49D2"/>
    <w:rsid w:val="00BB4B40"/>
    <w:rsid w:val="00BB4CEF"/>
    <w:rsid w:val="00BB61CD"/>
    <w:rsid w:val="00BB6E70"/>
    <w:rsid w:val="00BC137A"/>
    <w:rsid w:val="00BC2E8B"/>
    <w:rsid w:val="00BC30DC"/>
    <w:rsid w:val="00BC323B"/>
    <w:rsid w:val="00BC76F9"/>
    <w:rsid w:val="00BD10CB"/>
    <w:rsid w:val="00BD23A5"/>
    <w:rsid w:val="00BD668E"/>
    <w:rsid w:val="00BD6AD8"/>
    <w:rsid w:val="00BE1CEC"/>
    <w:rsid w:val="00BE58AA"/>
    <w:rsid w:val="00BE5FAC"/>
    <w:rsid w:val="00BF0283"/>
    <w:rsid w:val="00BF0DBE"/>
    <w:rsid w:val="00BF68C1"/>
    <w:rsid w:val="00BF76A6"/>
    <w:rsid w:val="00C0162B"/>
    <w:rsid w:val="00C02DDA"/>
    <w:rsid w:val="00C030DC"/>
    <w:rsid w:val="00C05617"/>
    <w:rsid w:val="00C0599C"/>
    <w:rsid w:val="00C12115"/>
    <w:rsid w:val="00C13983"/>
    <w:rsid w:val="00C15E4F"/>
    <w:rsid w:val="00C207BD"/>
    <w:rsid w:val="00C226A8"/>
    <w:rsid w:val="00C22B0F"/>
    <w:rsid w:val="00C231CF"/>
    <w:rsid w:val="00C2388A"/>
    <w:rsid w:val="00C245E0"/>
    <w:rsid w:val="00C25B1E"/>
    <w:rsid w:val="00C2600E"/>
    <w:rsid w:val="00C26F97"/>
    <w:rsid w:val="00C27602"/>
    <w:rsid w:val="00C30240"/>
    <w:rsid w:val="00C3069F"/>
    <w:rsid w:val="00C322E1"/>
    <w:rsid w:val="00C344FC"/>
    <w:rsid w:val="00C352BB"/>
    <w:rsid w:val="00C408F2"/>
    <w:rsid w:val="00C425D7"/>
    <w:rsid w:val="00C4277E"/>
    <w:rsid w:val="00C4437A"/>
    <w:rsid w:val="00C47DCD"/>
    <w:rsid w:val="00C5221C"/>
    <w:rsid w:val="00C557A6"/>
    <w:rsid w:val="00C55EBF"/>
    <w:rsid w:val="00C600AE"/>
    <w:rsid w:val="00C609FE"/>
    <w:rsid w:val="00C60A0B"/>
    <w:rsid w:val="00C61BF6"/>
    <w:rsid w:val="00C61C93"/>
    <w:rsid w:val="00C6456F"/>
    <w:rsid w:val="00C64B31"/>
    <w:rsid w:val="00C67201"/>
    <w:rsid w:val="00C74BD0"/>
    <w:rsid w:val="00C754E1"/>
    <w:rsid w:val="00C77709"/>
    <w:rsid w:val="00C80316"/>
    <w:rsid w:val="00C82127"/>
    <w:rsid w:val="00C8249C"/>
    <w:rsid w:val="00C85A31"/>
    <w:rsid w:val="00C85C80"/>
    <w:rsid w:val="00C9299B"/>
    <w:rsid w:val="00C93382"/>
    <w:rsid w:val="00CA1BAC"/>
    <w:rsid w:val="00CA36D2"/>
    <w:rsid w:val="00CA5A91"/>
    <w:rsid w:val="00CA68EC"/>
    <w:rsid w:val="00CA73A4"/>
    <w:rsid w:val="00CA791A"/>
    <w:rsid w:val="00CB1651"/>
    <w:rsid w:val="00CB4884"/>
    <w:rsid w:val="00CB6341"/>
    <w:rsid w:val="00CC0B8A"/>
    <w:rsid w:val="00CC3F08"/>
    <w:rsid w:val="00CC5554"/>
    <w:rsid w:val="00CD095E"/>
    <w:rsid w:val="00CD258E"/>
    <w:rsid w:val="00CD447C"/>
    <w:rsid w:val="00CD51C2"/>
    <w:rsid w:val="00CD6390"/>
    <w:rsid w:val="00CE0486"/>
    <w:rsid w:val="00CE1754"/>
    <w:rsid w:val="00CE69C4"/>
    <w:rsid w:val="00CE6F78"/>
    <w:rsid w:val="00CE76A2"/>
    <w:rsid w:val="00CF16CB"/>
    <w:rsid w:val="00CF3F29"/>
    <w:rsid w:val="00CF4233"/>
    <w:rsid w:val="00CF5847"/>
    <w:rsid w:val="00D00828"/>
    <w:rsid w:val="00D0169D"/>
    <w:rsid w:val="00D03790"/>
    <w:rsid w:val="00D0478B"/>
    <w:rsid w:val="00D04F36"/>
    <w:rsid w:val="00D05B4A"/>
    <w:rsid w:val="00D077D9"/>
    <w:rsid w:val="00D124AE"/>
    <w:rsid w:val="00D14D1D"/>
    <w:rsid w:val="00D1733B"/>
    <w:rsid w:val="00D17EE9"/>
    <w:rsid w:val="00D21223"/>
    <w:rsid w:val="00D2514A"/>
    <w:rsid w:val="00D3030F"/>
    <w:rsid w:val="00D33C4B"/>
    <w:rsid w:val="00D41F0C"/>
    <w:rsid w:val="00D4298E"/>
    <w:rsid w:val="00D459D6"/>
    <w:rsid w:val="00D466B1"/>
    <w:rsid w:val="00D5443F"/>
    <w:rsid w:val="00D55416"/>
    <w:rsid w:val="00D60A09"/>
    <w:rsid w:val="00D6127F"/>
    <w:rsid w:val="00D61FDA"/>
    <w:rsid w:val="00D62B66"/>
    <w:rsid w:val="00D651E8"/>
    <w:rsid w:val="00D653DA"/>
    <w:rsid w:val="00D6557E"/>
    <w:rsid w:val="00D6581B"/>
    <w:rsid w:val="00D72C1E"/>
    <w:rsid w:val="00D730D5"/>
    <w:rsid w:val="00D7643F"/>
    <w:rsid w:val="00D812B5"/>
    <w:rsid w:val="00D83E78"/>
    <w:rsid w:val="00D83EEF"/>
    <w:rsid w:val="00D869F9"/>
    <w:rsid w:val="00D87ACF"/>
    <w:rsid w:val="00D90164"/>
    <w:rsid w:val="00D90854"/>
    <w:rsid w:val="00D9088B"/>
    <w:rsid w:val="00D91C2A"/>
    <w:rsid w:val="00D92246"/>
    <w:rsid w:val="00D92E51"/>
    <w:rsid w:val="00D938A3"/>
    <w:rsid w:val="00D94E45"/>
    <w:rsid w:val="00D96E3D"/>
    <w:rsid w:val="00DA0102"/>
    <w:rsid w:val="00DA1CF8"/>
    <w:rsid w:val="00DA4243"/>
    <w:rsid w:val="00DA5C90"/>
    <w:rsid w:val="00DA6279"/>
    <w:rsid w:val="00DA67A3"/>
    <w:rsid w:val="00DB107E"/>
    <w:rsid w:val="00DB146C"/>
    <w:rsid w:val="00DB759C"/>
    <w:rsid w:val="00DC178C"/>
    <w:rsid w:val="00DC617A"/>
    <w:rsid w:val="00DC743E"/>
    <w:rsid w:val="00DC748C"/>
    <w:rsid w:val="00DD1F85"/>
    <w:rsid w:val="00DD250A"/>
    <w:rsid w:val="00DD6BC6"/>
    <w:rsid w:val="00DE2EEE"/>
    <w:rsid w:val="00DE5D03"/>
    <w:rsid w:val="00DE5D36"/>
    <w:rsid w:val="00DE640D"/>
    <w:rsid w:val="00DE651B"/>
    <w:rsid w:val="00DF0486"/>
    <w:rsid w:val="00DF2843"/>
    <w:rsid w:val="00DF3600"/>
    <w:rsid w:val="00DF4BE4"/>
    <w:rsid w:val="00DF62FF"/>
    <w:rsid w:val="00DF7492"/>
    <w:rsid w:val="00DF74B7"/>
    <w:rsid w:val="00E01D78"/>
    <w:rsid w:val="00E02F5A"/>
    <w:rsid w:val="00E03648"/>
    <w:rsid w:val="00E041F2"/>
    <w:rsid w:val="00E04862"/>
    <w:rsid w:val="00E06E18"/>
    <w:rsid w:val="00E07C61"/>
    <w:rsid w:val="00E114FC"/>
    <w:rsid w:val="00E1262D"/>
    <w:rsid w:val="00E13BAE"/>
    <w:rsid w:val="00E159D3"/>
    <w:rsid w:val="00E163B2"/>
    <w:rsid w:val="00E16EE4"/>
    <w:rsid w:val="00E202C3"/>
    <w:rsid w:val="00E21FEC"/>
    <w:rsid w:val="00E25BF6"/>
    <w:rsid w:val="00E273BF"/>
    <w:rsid w:val="00E27ED2"/>
    <w:rsid w:val="00E302AA"/>
    <w:rsid w:val="00E322C2"/>
    <w:rsid w:val="00E3253F"/>
    <w:rsid w:val="00E341BB"/>
    <w:rsid w:val="00E34741"/>
    <w:rsid w:val="00E34FB0"/>
    <w:rsid w:val="00E36EBE"/>
    <w:rsid w:val="00E41EF1"/>
    <w:rsid w:val="00E44897"/>
    <w:rsid w:val="00E4518C"/>
    <w:rsid w:val="00E453EB"/>
    <w:rsid w:val="00E511D3"/>
    <w:rsid w:val="00E532DC"/>
    <w:rsid w:val="00E53472"/>
    <w:rsid w:val="00E53B0E"/>
    <w:rsid w:val="00E54634"/>
    <w:rsid w:val="00E57446"/>
    <w:rsid w:val="00E57A18"/>
    <w:rsid w:val="00E60352"/>
    <w:rsid w:val="00E60E6C"/>
    <w:rsid w:val="00E639E9"/>
    <w:rsid w:val="00E641E8"/>
    <w:rsid w:val="00E64756"/>
    <w:rsid w:val="00E64E07"/>
    <w:rsid w:val="00E652E2"/>
    <w:rsid w:val="00E706DE"/>
    <w:rsid w:val="00E74651"/>
    <w:rsid w:val="00E74E48"/>
    <w:rsid w:val="00E76471"/>
    <w:rsid w:val="00E76751"/>
    <w:rsid w:val="00E77953"/>
    <w:rsid w:val="00E8096A"/>
    <w:rsid w:val="00E82059"/>
    <w:rsid w:val="00E8227B"/>
    <w:rsid w:val="00E8240B"/>
    <w:rsid w:val="00E877E4"/>
    <w:rsid w:val="00E90C87"/>
    <w:rsid w:val="00E94FD3"/>
    <w:rsid w:val="00E97484"/>
    <w:rsid w:val="00EA0336"/>
    <w:rsid w:val="00EA1CDE"/>
    <w:rsid w:val="00EA2B39"/>
    <w:rsid w:val="00EA44F7"/>
    <w:rsid w:val="00EA6A8F"/>
    <w:rsid w:val="00EA6BAC"/>
    <w:rsid w:val="00EB1ADB"/>
    <w:rsid w:val="00EB1C5C"/>
    <w:rsid w:val="00EB305D"/>
    <w:rsid w:val="00EB5BF2"/>
    <w:rsid w:val="00EB62B6"/>
    <w:rsid w:val="00EB6439"/>
    <w:rsid w:val="00EB7E7D"/>
    <w:rsid w:val="00EC231B"/>
    <w:rsid w:val="00EC3BA6"/>
    <w:rsid w:val="00EC3E55"/>
    <w:rsid w:val="00EC492D"/>
    <w:rsid w:val="00EC725C"/>
    <w:rsid w:val="00ED0222"/>
    <w:rsid w:val="00ED609D"/>
    <w:rsid w:val="00EE0424"/>
    <w:rsid w:val="00EE4FBD"/>
    <w:rsid w:val="00EE52C5"/>
    <w:rsid w:val="00EE659E"/>
    <w:rsid w:val="00EF0C42"/>
    <w:rsid w:val="00EF1640"/>
    <w:rsid w:val="00EF2025"/>
    <w:rsid w:val="00EF252D"/>
    <w:rsid w:val="00EF4754"/>
    <w:rsid w:val="00EF5767"/>
    <w:rsid w:val="00EF6D60"/>
    <w:rsid w:val="00F029BB"/>
    <w:rsid w:val="00F0631E"/>
    <w:rsid w:val="00F06450"/>
    <w:rsid w:val="00F07369"/>
    <w:rsid w:val="00F11079"/>
    <w:rsid w:val="00F12DDF"/>
    <w:rsid w:val="00F147D5"/>
    <w:rsid w:val="00F15811"/>
    <w:rsid w:val="00F165BD"/>
    <w:rsid w:val="00F20647"/>
    <w:rsid w:val="00F218B9"/>
    <w:rsid w:val="00F24313"/>
    <w:rsid w:val="00F27935"/>
    <w:rsid w:val="00F31B63"/>
    <w:rsid w:val="00F32D92"/>
    <w:rsid w:val="00F33809"/>
    <w:rsid w:val="00F42FD6"/>
    <w:rsid w:val="00F43ABD"/>
    <w:rsid w:val="00F44304"/>
    <w:rsid w:val="00F447AD"/>
    <w:rsid w:val="00F45EB4"/>
    <w:rsid w:val="00F47B33"/>
    <w:rsid w:val="00F50985"/>
    <w:rsid w:val="00F50E41"/>
    <w:rsid w:val="00F551A0"/>
    <w:rsid w:val="00F55306"/>
    <w:rsid w:val="00F57173"/>
    <w:rsid w:val="00F57C4D"/>
    <w:rsid w:val="00F60D07"/>
    <w:rsid w:val="00F63993"/>
    <w:rsid w:val="00F6702F"/>
    <w:rsid w:val="00F67274"/>
    <w:rsid w:val="00F67FEB"/>
    <w:rsid w:val="00F720F0"/>
    <w:rsid w:val="00F7665A"/>
    <w:rsid w:val="00F76AA0"/>
    <w:rsid w:val="00F84EBE"/>
    <w:rsid w:val="00F85E4A"/>
    <w:rsid w:val="00F86A89"/>
    <w:rsid w:val="00F87B45"/>
    <w:rsid w:val="00F92F90"/>
    <w:rsid w:val="00F93CDA"/>
    <w:rsid w:val="00F94A62"/>
    <w:rsid w:val="00F96938"/>
    <w:rsid w:val="00FA1709"/>
    <w:rsid w:val="00FA208E"/>
    <w:rsid w:val="00FA2361"/>
    <w:rsid w:val="00FA46D7"/>
    <w:rsid w:val="00FA5255"/>
    <w:rsid w:val="00FA7531"/>
    <w:rsid w:val="00FA768F"/>
    <w:rsid w:val="00FB00BD"/>
    <w:rsid w:val="00FB13B6"/>
    <w:rsid w:val="00FB1477"/>
    <w:rsid w:val="00FB3507"/>
    <w:rsid w:val="00FB4405"/>
    <w:rsid w:val="00FB47DB"/>
    <w:rsid w:val="00FB494A"/>
    <w:rsid w:val="00FB72F1"/>
    <w:rsid w:val="00FC1E5C"/>
    <w:rsid w:val="00FC28CC"/>
    <w:rsid w:val="00FC4B00"/>
    <w:rsid w:val="00FC58FA"/>
    <w:rsid w:val="00FC7BC6"/>
    <w:rsid w:val="00FD0F8C"/>
    <w:rsid w:val="00FD24B9"/>
    <w:rsid w:val="00FD2C87"/>
    <w:rsid w:val="00FD5C26"/>
    <w:rsid w:val="00FD67C3"/>
    <w:rsid w:val="00FD7CD3"/>
    <w:rsid w:val="00FD7E33"/>
    <w:rsid w:val="00FE0889"/>
    <w:rsid w:val="00FE1828"/>
    <w:rsid w:val="00FE27BD"/>
    <w:rsid w:val="00FE32C9"/>
    <w:rsid w:val="00FE4289"/>
    <w:rsid w:val="00FE4C79"/>
    <w:rsid w:val="00FE7D0C"/>
    <w:rsid w:val="00FF255F"/>
    <w:rsid w:val="00FF3845"/>
    <w:rsid w:val="00FF3D31"/>
    <w:rsid w:val="00FF6D7A"/>
    <w:rsid w:val="00FF76CA"/>
    <w:rsid w:val="01676EA6"/>
    <w:rsid w:val="06271B83"/>
    <w:rsid w:val="0DBA63D6"/>
    <w:rsid w:val="107A6B0B"/>
    <w:rsid w:val="11D60688"/>
    <w:rsid w:val="1A745DE8"/>
    <w:rsid w:val="1C93389C"/>
    <w:rsid w:val="1F7F7C9A"/>
    <w:rsid w:val="24101FD2"/>
    <w:rsid w:val="251E7266"/>
    <w:rsid w:val="29750120"/>
    <w:rsid w:val="2B1B21D9"/>
    <w:rsid w:val="3D9C425B"/>
    <w:rsid w:val="451847AC"/>
    <w:rsid w:val="46B05F17"/>
    <w:rsid w:val="49C10F95"/>
    <w:rsid w:val="4D4468C1"/>
    <w:rsid w:val="4EC7280E"/>
    <w:rsid w:val="4F025B04"/>
    <w:rsid w:val="50B66363"/>
    <w:rsid w:val="695B521B"/>
    <w:rsid w:val="7114593E"/>
    <w:rsid w:val="754B0149"/>
    <w:rsid w:val="7F6A2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widowControl/>
      <w:pBdr>
        <w:bottom w:val="thinThickSmallGap" w:color="C55911" w:themeColor="accent2" w:themeShade="BF" w:sz="12" w:space="1"/>
      </w:pBdr>
      <w:spacing w:before="400" w:after="200" w:line="252" w:lineRule="auto"/>
      <w:jc w:val="center"/>
      <w:outlineLvl w:val="0"/>
    </w:pPr>
    <w:rPr>
      <w:rFonts w:asciiTheme="majorHAnsi" w:hAnsiTheme="majorHAnsi" w:eastAsiaTheme="majorEastAsia" w:cstheme="majorBidi"/>
      <w:caps/>
      <w:color w:val="843C0B" w:themeColor="accent2" w:themeShade="80"/>
      <w:spacing w:val="20"/>
      <w:kern w:val="0"/>
      <w:sz w:val="28"/>
      <w:szCs w:val="28"/>
      <w:lang w:eastAsia="en-US" w:bidi="en-US"/>
    </w:rPr>
  </w:style>
  <w:style w:type="paragraph" w:styleId="3">
    <w:name w:val="heading 2"/>
    <w:basedOn w:val="1"/>
    <w:next w:val="1"/>
    <w:link w:val="29"/>
    <w:unhideWhenUsed/>
    <w:qFormat/>
    <w:uiPriority w:val="9"/>
    <w:pPr>
      <w:widowControl/>
      <w:pBdr>
        <w:bottom w:val="single" w:color="823B0B" w:themeColor="accent2" w:themeShade="7F" w:sz="4" w:space="1"/>
      </w:pBdr>
      <w:spacing w:before="400" w:after="200" w:line="252" w:lineRule="auto"/>
      <w:jc w:val="center"/>
      <w:outlineLvl w:val="1"/>
    </w:pPr>
    <w:rPr>
      <w:rFonts w:asciiTheme="majorHAnsi" w:hAnsiTheme="majorHAnsi" w:eastAsiaTheme="majorEastAsia" w:cstheme="majorBidi"/>
      <w:caps/>
      <w:color w:val="843C0B" w:themeColor="accent2" w:themeShade="80"/>
      <w:spacing w:val="15"/>
      <w:kern w:val="0"/>
      <w:sz w:val="24"/>
      <w:szCs w:val="24"/>
      <w:lang w:eastAsia="en-US" w:bidi="en-US"/>
    </w:rPr>
  </w:style>
  <w:style w:type="paragraph" w:styleId="4">
    <w:name w:val="heading 3"/>
    <w:basedOn w:val="1"/>
    <w:next w:val="1"/>
    <w:link w:val="30"/>
    <w:unhideWhenUsed/>
    <w:qFormat/>
    <w:uiPriority w:val="9"/>
    <w:pPr>
      <w:widowControl/>
      <w:pBdr>
        <w:top w:val="dotted" w:color="823B0B" w:themeColor="accent2" w:themeShade="7F" w:sz="4" w:space="1"/>
        <w:bottom w:val="dotted" w:color="823B0B" w:themeColor="accent2" w:themeShade="7F" w:sz="4" w:space="1"/>
      </w:pBdr>
      <w:spacing w:before="300" w:after="200" w:line="252" w:lineRule="auto"/>
      <w:jc w:val="center"/>
      <w:outlineLvl w:val="2"/>
    </w:pPr>
    <w:rPr>
      <w:rFonts w:asciiTheme="majorHAnsi" w:hAnsiTheme="majorHAnsi" w:eastAsiaTheme="majorEastAsia" w:cstheme="majorBidi"/>
      <w:caps/>
      <w:color w:val="843C0B" w:themeColor="accent2" w:themeShade="80"/>
      <w:kern w:val="0"/>
      <w:sz w:val="24"/>
      <w:szCs w:val="24"/>
      <w:lang w:eastAsia="en-US" w:bidi="en-US"/>
    </w:rPr>
  </w:style>
  <w:style w:type="paragraph" w:styleId="5">
    <w:name w:val="heading 4"/>
    <w:basedOn w:val="1"/>
    <w:next w:val="1"/>
    <w:link w:val="31"/>
    <w:unhideWhenUsed/>
    <w:qFormat/>
    <w:uiPriority w:val="9"/>
    <w:pPr>
      <w:widowControl/>
      <w:pBdr>
        <w:bottom w:val="dotted" w:color="C55911" w:themeColor="accent2" w:themeShade="BF" w:sz="4" w:space="1"/>
      </w:pBdr>
      <w:spacing w:after="120" w:line="252" w:lineRule="auto"/>
      <w:jc w:val="center"/>
      <w:outlineLvl w:val="3"/>
    </w:pPr>
    <w:rPr>
      <w:rFonts w:asciiTheme="majorHAnsi" w:hAnsiTheme="majorHAnsi" w:eastAsiaTheme="majorEastAsia" w:cstheme="majorBidi"/>
      <w:caps/>
      <w:color w:val="843C0B" w:themeColor="accent2" w:themeShade="80"/>
      <w:spacing w:val="10"/>
      <w:kern w:val="0"/>
      <w:sz w:val="22"/>
      <w:lang w:eastAsia="en-US" w:bidi="en-US"/>
    </w:rPr>
  </w:style>
  <w:style w:type="paragraph" w:styleId="6">
    <w:name w:val="heading 5"/>
    <w:basedOn w:val="1"/>
    <w:next w:val="1"/>
    <w:link w:val="32"/>
    <w:semiHidden/>
    <w:unhideWhenUsed/>
    <w:qFormat/>
    <w:uiPriority w:val="9"/>
    <w:pPr>
      <w:widowControl/>
      <w:spacing w:before="320" w:after="120" w:line="252" w:lineRule="auto"/>
      <w:jc w:val="center"/>
      <w:outlineLvl w:val="4"/>
    </w:pPr>
    <w:rPr>
      <w:rFonts w:asciiTheme="majorHAnsi" w:hAnsiTheme="majorHAnsi" w:eastAsiaTheme="majorEastAsia" w:cstheme="majorBidi"/>
      <w:caps/>
      <w:color w:val="843C0B" w:themeColor="accent2" w:themeShade="80"/>
      <w:spacing w:val="10"/>
      <w:kern w:val="0"/>
      <w:sz w:val="22"/>
      <w:lang w:eastAsia="en-US" w:bidi="en-US"/>
    </w:rPr>
  </w:style>
  <w:style w:type="paragraph" w:styleId="7">
    <w:name w:val="heading 6"/>
    <w:basedOn w:val="1"/>
    <w:next w:val="1"/>
    <w:link w:val="33"/>
    <w:semiHidden/>
    <w:unhideWhenUsed/>
    <w:qFormat/>
    <w:uiPriority w:val="9"/>
    <w:pPr>
      <w:widowControl/>
      <w:spacing w:after="120" w:line="252" w:lineRule="auto"/>
      <w:jc w:val="center"/>
      <w:outlineLvl w:val="5"/>
    </w:pPr>
    <w:rPr>
      <w:rFonts w:asciiTheme="majorHAnsi" w:hAnsiTheme="majorHAnsi" w:eastAsiaTheme="majorEastAsia" w:cstheme="majorBidi"/>
      <w:caps/>
      <w:color w:val="C55911" w:themeColor="accent2" w:themeShade="BF"/>
      <w:spacing w:val="10"/>
      <w:kern w:val="0"/>
      <w:sz w:val="22"/>
      <w:lang w:eastAsia="en-US" w:bidi="en-US"/>
    </w:rPr>
  </w:style>
  <w:style w:type="paragraph" w:styleId="8">
    <w:name w:val="heading 7"/>
    <w:basedOn w:val="1"/>
    <w:next w:val="1"/>
    <w:link w:val="34"/>
    <w:semiHidden/>
    <w:unhideWhenUsed/>
    <w:qFormat/>
    <w:uiPriority w:val="9"/>
    <w:pPr>
      <w:widowControl/>
      <w:spacing w:after="120" w:line="252" w:lineRule="auto"/>
      <w:jc w:val="center"/>
      <w:outlineLvl w:val="6"/>
    </w:pPr>
    <w:rPr>
      <w:rFonts w:asciiTheme="majorHAnsi" w:hAnsiTheme="majorHAnsi" w:eastAsiaTheme="majorEastAsia" w:cstheme="majorBidi"/>
      <w:i/>
      <w:iCs/>
      <w:caps/>
      <w:color w:val="C55911" w:themeColor="accent2" w:themeShade="BF"/>
      <w:spacing w:val="10"/>
      <w:kern w:val="0"/>
      <w:sz w:val="22"/>
      <w:lang w:eastAsia="en-US" w:bidi="en-US"/>
    </w:rPr>
  </w:style>
  <w:style w:type="paragraph" w:styleId="9">
    <w:name w:val="heading 8"/>
    <w:basedOn w:val="1"/>
    <w:next w:val="1"/>
    <w:link w:val="35"/>
    <w:semiHidden/>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0">
    <w:name w:val="heading 9"/>
    <w:basedOn w:val="1"/>
    <w:next w:val="1"/>
    <w:link w:val="36"/>
    <w:semiHidden/>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line="252" w:lineRule="auto"/>
      <w:jc w:val="left"/>
    </w:pPr>
    <w:rPr>
      <w:rFonts w:asciiTheme="majorHAnsi" w:hAnsiTheme="majorHAnsi" w:eastAsiaTheme="majorEastAsia" w:cstheme="majorBidi"/>
      <w:caps/>
      <w:spacing w:val="10"/>
      <w:kern w:val="0"/>
      <w:sz w:val="18"/>
      <w:szCs w:val="18"/>
      <w:lang w:eastAsia="en-US" w:bidi="en-US"/>
    </w:rPr>
  </w:style>
  <w:style w:type="paragraph" w:styleId="12">
    <w:name w:val="Date"/>
    <w:basedOn w:val="1"/>
    <w:next w:val="1"/>
    <w:link w:val="57"/>
    <w:semiHidden/>
    <w:unhideWhenUsed/>
    <w:qFormat/>
    <w:uiPriority w:val="99"/>
    <w:pPr>
      <w:ind w:left="100" w:leftChars="2500"/>
    </w:pPr>
  </w:style>
  <w:style w:type="paragraph" w:styleId="13">
    <w:name w:val="endnote text"/>
    <w:basedOn w:val="1"/>
    <w:link w:val="56"/>
    <w:semiHidden/>
    <w:unhideWhenUsed/>
    <w:qFormat/>
    <w:uiPriority w:val="99"/>
    <w:pPr>
      <w:snapToGrid w:val="0"/>
      <w:jc w:val="left"/>
    </w:pPr>
  </w:style>
  <w:style w:type="paragraph" w:styleId="14">
    <w:name w:val="Balloon Text"/>
    <w:basedOn w:val="1"/>
    <w:link w:val="55"/>
    <w:semiHidden/>
    <w:unhideWhenUsed/>
    <w:qFormat/>
    <w:uiPriority w:val="99"/>
    <w:rPr>
      <w:sz w:val="18"/>
      <w:szCs w:val="18"/>
    </w:rPr>
  </w:style>
  <w:style w:type="paragraph" w:styleId="15">
    <w:name w:val="footer"/>
    <w:basedOn w:val="1"/>
    <w:link w:val="52"/>
    <w:qFormat/>
    <w:uiPriority w:val="99"/>
    <w:pPr>
      <w:tabs>
        <w:tab w:val="center" w:pos="4153"/>
        <w:tab w:val="right" w:pos="8306"/>
      </w:tabs>
      <w:snapToGrid w:val="0"/>
      <w:jc w:val="left"/>
    </w:pPr>
    <w:rPr>
      <w:sz w:val="18"/>
      <w:szCs w:val="18"/>
    </w:rPr>
  </w:style>
  <w:style w:type="paragraph" w:styleId="16">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8"/>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8">
    <w:name w:val="footnote text"/>
    <w:basedOn w:val="1"/>
    <w:link w:val="54"/>
    <w:semiHidden/>
    <w:qFormat/>
    <w:uiPriority w:val="0"/>
    <w:pPr>
      <w:snapToGrid w:val="0"/>
      <w:jc w:val="left"/>
    </w:pPr>
    <w:rPr>
      <w:sz w:val="18"/>
      <w:szCs w:val="18"/>
    </w:rPr>
  </w:style>
  <w:style w:type="paragraph" w:styleId="19">
    <w:name w:val="Title"/>
    <w:basedOn w:val="1"/>
    <w:next w:val="1"/>
    <w:link w:val="37"/>
    <w:qFormat/>
    <w:uiPriority w:val="10"/>
    <w:pPr>
      <w:widowControl/>
      <w:pBdr>
        <w:top w:val="dotted" w:color="843C0B" w:themeColor="accent2" w:themeShade="80" w:sz="2" w:space="1"/>
        <w:bottom w:val="dotted" w:color="843C0B" w:themeColor="accent2" w:themeShade="80" w:sz="2" w:space="6"/>
      </w:pBdr>
      <w:spacing w:before="500" w:after="300"/>
      <w:jc w:val="center"/>
    </w:pPr>
    <w:rPr>
      <w:rFonts w:asciiTheme="majorHAnsi" w:hAnsiTheme="majorHAnsi" w:eastAsiaTheme="majorEastAsia" w:cstheme="majorBidi"/>
      <w:caps/>
      <w:color w:val="843C0B" w:themeColor="accent2" w:themeShade="80"/>
      <w:spacing w:val="50"/>
      <w:kern w:val="0"/>
      <w:sz w:val="44"/>
      <w:szCs w:val="44"/>
      <w:lang w:eastAsia="en-US" w:bidi="en-U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color w:val="C55911" w:themeColor="accent2" w:themeShade="BF"/>
      <w:spacing w:val="5"/>
    </w:rPr>
  </w:style>
  <w:style w:type="character" w:styleId="24">
    <w:name w:val="endnote reference"/>
    <w:basedOn w:val="22"/>
    <w:semiHidden/>
    <w:unhideWhenUsed/>
    <w:qFormat/>
    <w:uiPriority w:val="99"/>
    <w:rPr>
      <w:vertAlign w:val="superscript"/>
    </w:rPr>
  </w:style>
  <w:style w:type="character" w:styleId="25">
    <w:name w:val="page number"/>
    <w:basedOn w:val="22"/>
    <w:qFormat/>
    <w:uiPriority w:val="0"/>
  </w:style>
  <w:style w:type="character" w:styleId="26">
    <w:name w:val="Emphasis"/>
    <w:qFormat/>
    <w:uiPriority w:val="20"/>
    <w:rPr>
      <w:caps/>
      <w:spacing w:val="5"/>
      <w:sz w:val="20"/>
      <w:szCs w:val="20"/>
    </w:rPr>
  </w:style>
  <w:style w:type="character" w:styleId="27">
    <w:name w:val="footnote reference"/>
    <w:basedOn w:val="22"/>
    <w:semiHidden/>
    <w:qFormat/>
    <w:uiPriority w:val="0"/>
    <w:rPr>
      <w:vertAlign w:val="superscript"/>
    </w:rPr>
  </w:style>
  <w:style w:type="character" w:customStyle="1" w:styleId="28">
    <w:name w:val="标题 1 Char"/>
    <w:basedOn w:val="22"/>
    <w:link w:val="2"/>
    <w:qFormat/>
    <w:uiPriority w:val="9"/>
    <w:rPr>
      <w:rFonts w:eastAsiaTheme="majorEastAsia" w:cstheme="majorBidi"/>
      <w:caps/>
      <w:color w:val="843C0B" w:themeColor="accent2" w:themeShade="80"/>
      <w:spacing w:val="20"/>
      <w:sz w:val="28"/>
      <w:szCs w:val="28"/>
    </w:rPr>
  </w:style>
  <w:style w:type="character" w:customStyle="1" w:styleId="29">
    <w:name w:val="标题 2 Char"/>
    <w:basedOn w:val="22"/>
    <w:link w:val="3"/>
    <w:qFormat/>
    <w:uiPriority w:val="9"/>
    <w:rPr>
      <w:caps/>
      <w:color w:val="843C0B" w:themeColor="accent2" w:themeShade="80"/>
      <w:spacing w:val="15"/>
      <w:sz w:val="24"/>
      <w:szCs w:val="24"/>
    </w:rPr>
  </w:style>
  <w:style w:type="character" w:customStyle="1" w:styleId="30">
    <w:name w:val="标题 3 Char"/>
    <w:basedOn w:val="22"/>
    <w:link w:val="4"/>
    <w:qFormat/>
    <w:uiPriority w:val="9"/>
    <w:rPr>
      <w:rFonts w:eastAsiaTheme="majorEastAsia" w:cstheme="majorBidi"/>
      <w:caps/>
      <w:color w:val="843C0B" w:themeColor="accent2" w:themeShade="80"/>
      <w:sz w:val="24"/>
      <w:szCs w:val="24"/>
    </w:rPr>
  </w:style>
  <w:style w:type="character" w:customStyle="1" w:styleId="31">
    <w:name w:val="标题 4 Char"/>
    <w:basedOn w:val="22"/>
    <w:link w:val="5"/>
    <w:qFormat/>
    <w:uiPriority w:val="9"/>
    <w:rPr>
      <w:rFonts w:eastAsiaTheme="majorEastAsia" w:cstheme="majorBidi"/>
      <w:caps/>
      <w:color w:val="843C0B" w:themeColor="accent2" w:themeShade="80"/>
      <w:spacing w:val="10"/>
    </w:rPr>
  </w:style>
  <w:style w:type="character" w:customStyle="1" w:styleId="32">
    <w:name w:val="标题 5 Char"/>
    <w:basedOn w:val="22"/>
    <w:link w:val="6"/>
    <w:semiHidden/>
    <w:qFormat/>
    <w:uiPriority w:val="9"/>
    <w:rPr>
      <w:rFonts w:eastAsiaTheme="majorEastAsia" w:cstheme="majorBidi"/>
      <w:caps/>
      <w:color w:val="843C0B" w:themeColor="accent2" w:themeShade="80"/>
      <w:spacing w:val="10"/>
    </w:rPr>
  </w:style>
  <w:style w:type="character" w:customStyle="1" w:styleId="33">
    <w:name w:val="标题 6 Char"/>
    <w:basedOn w:val="22"/>
    <w:link w:val="7"/>
    <w:semiHidden/>
    <w:qFormat/>
    <w:uiPriority w:val="9"/>
    <w:rPr>
      <w:rFonts w:eastAsiaTheme="majorEastAsia" w:cstheme="majorBidi"/>
      <w:caps/>
      <w:color w:val="C55911" w:themeColor="accent2" w:themeShade="BF"/>
      <w:spacing w:val="10"/>
    </w:rPr>
  </w:style>
  <w:style w:type="character" w:customStyle="1" w:styleId="34">
    <w:name w:val="标题 7 Char"/>
    <w:basedOn w:val="22"/>
    <w:link w:val="8"/>
    <w:semiHidden/>
    <w:qFormat/>
    <w:uiPriority w:val="9"/>
    <w:rPr>
      <w:rFonts w:eastAsiaTheme="majorEastAsia" w:cstheme="majorBidi"/>
      <w:i/>
      <w:iCs/>
      <w:caps/>
      <w:color w:val="C55911" w:themeColor="accent2" w:themeShade="BF"/>
      <w:spacing w:val="10"/>
    </w:rPr>
  </w:style>
  <w:style w:type="character" w:customStyle="1" w:styleId="35">
    <w:name w:val="标题 8 Char"/>
    <w:basedOn w:val="22"/>
    <w:link w:val="9"/>
    <w:semiHidden/>
    <w:qFormat/>
    <w:uiPriority w:val="9"/>
    <w:rPr>
      <w:rFonts w:eastAsiaTheme="majorEastAsia" w:cstheme="majorBidi"/>
      <w:caps/>
      <w:spacing w:val="10"/>
      <w:sz w:val="20"/>
      <w:szCs w:val="20"/>
    </w:rPr>
  </w:style>
  <w:style w:type="character" w:customStyle="1" w:styleId="36">
    <w:name w:val="标题 9 Char"/>
    <w:basedOn w:val="22"/>
    <w:link w:val="10"/>
    <w:semiHidden/>
    <w:qFormat/>
    <w:uiPriority w:val="9"/>
    <w:rPr>
      <w:rFonts w:eastAsiaTheme="majorEastAsia" w:cstheme="majorBidi"/>
      <w:i/>
      <w:iCs/>
      <w:caps/>
      <w:spacing w:val="10"/>
      <w:sz w:val="20"/>
      <w:szCs w:val="20"/>
    </w:rPr>
  </w:style>
  <w:style w:type="character" w:customStyle="1" w:styleId="37">
    <w:name w:val="标题 Char"/>
    <w:basedOn w:val="22"/>
    <w:link w:val="19"/>
    <w:qFormat/>
    <w:uiPriority w:val="10"/>
    <w:rPr>
      <w:rFonts w:eastAsiaTheme="majorEastAsia" w:cstheme="majorBidi"/>
      <w:caps/>
      <w:color w:val="843C0B" w:themeColor="accent2" w:themeShade="80"/>
      <w:spacing w:val="50"/>
      <w:sz w:val="44"/>
      <w:szCs w:val="44"/>
    </w:rPr>
  </w:style>
  <w:style w:type="character" w:customStyle="1" w:styleId="38">
    <w:name w:val="副标题 Char"/>
    <w:basedOn w:val="22"/>
    <w:link w:val="17"/>
    <w:qFormat/>
    <w:uiPriority w:val="11"/>
    <w:rPr>
      <w:rFonts w:eastAsiaTheme="majorEastAsia" w:cstheme="majorBidi"/>
      <w:caps/>
      <w:spacing w:val="20"/>
      <w:sz w:val="18"/>
      <w:szCs w:val="18"/>
    </w:rPr>
  </w:style>
  <w:style w:type="paragraph" w:styleId="39">
    <w:name w:val="No Spacing"/>
    <w:basedOn w:val="1"/>
    <w:link w:val="40"/>
    <w:qFormat/>
    <w:uiPriority w:val="1"/>
    <w:pPr>
      <w:widowControl/>
      <w:jc w:val="left"/>
    </w:pPr>
    <w:rPr>
      <w:rFonts w:asciiTheme="majorHAnsi" w:hAnsiTheme="majorHAnsi" w:eastAsiaTheme="majorEastAsia" w:cstheme="majorBidi"/>
      <w:kern w:val="0"/>
      <w:sz w:val="22"/>
      <w:lang w:eastAsia="en-US" w:bidi="en-US"/>
    </w:rPr>
  </w:style>
  <w:style w:type="character" w:customStyle="1" w:styleId="40">
    <w:name w:val="无间隔 Char"/>
    <w:basedOn w:val="22"/>
    <w:link w:val="39"/>
    <w:qFormat/>
    <w:uiPriority w:val="1"/>
  </w:style>
  <w:style w:type="paragraph" w:styleId="41">
    <w:name w:val="List Paragraph"/>
    <w:basedOn w:val="1"/>
    <w:qFormat/>
    <w:uiPriority w:val="34"/>
    <w:pPr>
      <w:widowControl/>
      <w:spacing w:after="200" w:line="252" w:lineRule="auto"/>
      <w:ind w:left="720"/>
      <w:contextualSpacing/>
      <w:jc w:val="left"/>
    </w:pPr>
    <w:rPr>
      <w:rFonts w:asciiTheme="majorHAnsi" w:hAnsiTheme="majorHAnsi" w:eastAsiaTheme="majorEastAsia" w:cstheme="majorBidi"/>
      <w:kern w:val="0"/>
      <w:sz w:val="22"/>
      <w:lang w:eastAsia="en-US" w:bidi="en-US"/>
    </w:rPr>
  </w:style>
  <w:style w:type="paragraph" w:styleId="42">
    <w:name w:val="Quote"/>
    <w:basedOn w:val="1"/>
    <w:next w:val="1"/>
    <w:link w:val="43"/>
    <w:qFormat/>
    <w:uiPriority w:val="29"/>
    <w:pPr>
      <w:widowControl/>
      <w:spacing w:after="200" w:line="252" w:lineRule="auto"/>
      <w:jc w:val="left"/>
    </w:pPr>
    <w:rPr>
      <w:rFonts w:asciiTheme="majorHAnsi" w:hAnsiTheme="majorHAnsi" w:eastAsiaTheme="majorEastAsia" w:cstheme="majorBidi"/>
      <w:i/>
      <w:iCs/>
      <w:kern w:val="0"/>
      <w:sz w:val="22"/>
      <w:lang w:eastAsia="en-US" w:bidi="en-US"/>
    </w:rPr>
  </w:style>
  <w:style w:type="character" w:customStyle="1" w:styleId="43">
    <w:name w:val="引用 Char"/>
    <w:basedOn w:val="22"/>
    <w:link w:val="42"/>
    <w:qFormat/>
    <w:uiPriority w:val="29"/>
    <w:rPr>
      <w:rFonts w:eastAsiaTheme="majorEastAsia" w:cstheme="majorBidi"/>
      <w:i/>
      <w:iCs/>
    </w:rPr>
  </w:style>
  <w:style w:type="paragraph" w:styleId="44">
    <w:name w:val="Intense Quote"/>
    <w:basedOn w:val="1"/>
    <w:next w:val="1"/>
    <w:link w:val="45"/>
    <w:qFormat/>
    <w:uiPriority w:val="30"/>
    <w:pPr>
      <w:widowControl/>
      <w:pBdr>
        <w:top w:val="dotted" w:color="843C0B" w:themeColor="accent2" w:themeShade="80" w:sz="2" w:space="10"/>
        <w:bottom w:val="dotted" w:color="843C0B" w:themeColor="accent2" w:themeShade="80" w:sz="2" w:space="4"/>
      </w:pBdr>
      <w:spacing w:before="160" w:after="200" w:line="300" w:lineRule="auto"/>
      <w:ind w:left="1440" w:right="1440"/>
      <w:jc w:val="left"/>
    </w:pPr>
    <w:rPr>
      <w:rFonts w:asciiTheme="majorHAnsi" w:hAnsiTheme="majorHAnsi" w:eastAsiaTheme="majorEastAsia" w:cstheme="majorBidi"/>
      <w:caps/>
      <w:color w:val="843C0B" w:themeColor="accent2" w:themeShade="80"/>
      <w:spacing w:val="5"/>
      <w:kern w:val="0"/>
      <w:sz w:val="20"/>
      <w:szCs w:val="20"/>
      <w:lang w:eastAsia="en-US" w:bidi="en-US"/>
    </w:rPr>
  </w:style>
  <w:style w:type="character" w:customStyle="1" w:styleId="45">
    <w:name w:val="明显引用 Char"/>
    <w:basedOn w:val="22"/>
    <w:link w:val="44"/>
    <w:qFormat/>
    <w:uiPriority w:val="30"/>
    <w:rPr>
      <w:rFonts w:eastAsiaTheme="majorEastAsia" w:cstheme="majorBidi"/>
      <w:caps/>
      <w:color w:val="843C0B" w:themeColor="accent2" w:themeShade="80"/>
      <w:spacing w:val="5"/>
      <w:sz w:val="20"/>
      <w:szCs w:val="20"/>
    </w:rPr>
  </w:style>
  <w:style w:type="character" w:customStyle="1" w:styleId="46">
    <w:name w:val="不明显强调1"/>
    <w:qFormat/>
    <w:uiPriority w:val="19"/>
    <w:rPr>
      <w:i/>
      <w:iCs/>
    </w:rPr>
  </w:style>
  <w:style w:type="character" w:customStyle="1" w:styleId="47">
    <w:name w:val="明显强调1"/>
    <w:qFormat/>
    <w:uiPriority w:val="21"/>
    <w:rPr>
      <w:i/>
      <w:iCs/>
      <w:caps/>
      <w:spacing w:val="10"/>
      <w:sz w:val="20"/>
      <w:szCs w:val="20"/>
    </w:rPr>
  </w:style>
  <w:style w:type="character" w:customStyle="1" w:styleId="48">
    <w:name w:val="不明显参考1"/>
    <w:basedOn w:val="22"/>
    <w:qFormat/>
    <w:uiPriority w:val="31"/>
    <w:rPr>
      <w:rFonts w:asciiTheme="minorHAnsi" w:hAnsiTheme="minorHAnsi" w:eastAsiaTheme="minorEastAsia" w:cstheme="minorBidi"/>
      <w:i/>
      <w:iCs/>
      <w:color w:val="843C0B" w:themeColor="accent2" w:themeShade="80"/>
    </w:rPr>
  </w:style>
  <w:style w:type="character" w:customStyle="1" w:styleId="49">
    <w:name w:val="明显参考1"/>
    <w:qFormat/>
    <w:uiPriority w:val="32"/>
    <w:rPr>
      <w:rFonts w:asciiTheme="minorHAnsi" w:hAnsiTheme="minorHAnsi" w:eastAsiaTheme="minorEastAsia" w:cstheme="minorBidi"/>
      <w:b/>
      <w:bCs/>
      <w:i/>
      <w:iCs/>
      <w:color w:val="843C0B" w:themeColor="accent2" w:themeShade="80"/>
    </w:rPr>
  </w:style>
  <w:style w:type="character" w:customStyle="1" w:styleId="50">
    <w:name w:val="书籍标题1"/>
    <w:qFormat/>
    <w:uiPriority w:val="33"/>
    <w:rPr>
      <w:caps/>
      <w:color w:val="843C0B" w:themeColor="accent2" w:themeShade="80"/>
      <w:spacing w:val="5"/>
      <w:u w:color="823B0B" w:themeColor="accent2" w:themeShade="7F"/>
    </w:rPr>
  </w:style>
  <w:style w:type="paragraph" w:customStyle="1" w:styleId="51">
    <w:name w:val="TOC 标题1"/>
    <w:basedOn w:val="2"/>
    <w:next w:val="1"/>
    <w:semiHidden/>
    <w:unhideWhenUsed/>
    <w:qFormat/>
    <w:uiPriority w:val="39"/>
    <w:pPr>
      <w:outlineLvl w:val="9"/>
    </w:pPr>
  </w:style>
  <w:style w:type="character" w:customStyle="1" w:styleId="52">
    <w:name w:val="页脚 Char"/>
    <w:basedOn w:val="22"/>
    <w:link w:val="15"/>
    <w:qFormat/>
    <w:uiPriority w:val="99"/>
    <w:rPr>
      <w:rFonts w:ascii="Calibri" w:hAnsi="Calibri" w:eastAsia="宋体" w:cs="Times New Roman"/>
      <w:kern w:val="2"/>
      <w:sz w:val="18"/>
      <w:szCs w:val="18"/>
      <w:lang w:eastAsia="zh-CN" w:bidi="ar-SA"/>
    </w:rPr>
  </w:style>
  <w:style w:type="character" w:customStyle="1" w:styleId="53">
    <w:name w:val="页眉 Char"/>
    <w:basedOn w:val="22"/>
    <w:link w:val="16"/>
    <w:qFormat/>
    <w:uiPriority w:val="0"/>
    <w:rPr>
      <w:rFonts w:ascii="Calibri" w:hAnsi="Calibri" w:eastAsia="宋体" w:cs="Times New Roman"/>
      <w:kern w:val="2"/>
      <w:sz w:val="18"/>
      <w:szCs w:val="18"/>
      <w:lang w:eastAsia="zh-CN" w:bidi="ar-SA"/>
    </w:rPr>
  </w:style>
  <w:style w:type="character" w:customStyle="1" w:styleId="54">
    <w:name w:val="脚注文本 Char"/>
    <w:basedOn w:val="22"/>
    <w:link w:val="18"/>
    <w:semiHidden/>
    <w:qFormat/>
    <w:uiPriority w:val="0"/>
    <w:rPr>
      <w:rFonts w:ascii="Calibri" w:hAnsi="Calibri" w:eastAsia="宋体" w:cs="Times New Roman"/>
      <w:kern w:val="2"/>
      <w:sz w:val="18"/>
      <w:szCs w:val="18"/>
      <w:lang w:eastAsia="zh-CN" w:bidi="ar-SA"/>
    </w:rPr>
  </w:style>
  <w:style w:type="character" w:customStyle="1" w:styleId="55">
    <w:name w:val="批注框文本 Char"/>
    <w:basedOn w:val="22"/>
    <w:link w:val="14"/>
    <w:semiHidden/>
    <w:qFormat/>
    <w:uiPriority w:val="99"/>
    <w:rPr>
      <w:rFonts w:ascii="Calibri" w:hAnsi="Calibri" w:eastAsia="宋体" w:cs="Times New Roman"/>
      <w:kern w:val="2"/>
      <w:sz w:val="18"/>
      <w:szCs w:val="18"/>
      <w:lang w:eastAsia="zh-CN" w:bidi="ar-SA"/>
    </w:rPr>
  </w:style>
  <w:style w:type="character" w:customStyle="1" w:styleId="56">
    <w:name w:val="尾注文本 Char"/>
    <w:basedOn w:val="22"/>
    <w:link w:val="13"/>
    <w:semiHidden/>
    <w:qFormat/>
    <w:uiPriority w:val="99"/>
    <w:rPr>
      <w:rFonts w:ascii="Calibri" w:hAnsi="Calibri" w:eastAsia="宋体" w:cs="Times New Roman"/>
      <w:kern w:val="2"/>
      <w:sz w:val="21"/>
      <w:lang w:eastAsia="zh-CN" w:bidi="ar-SA"/>
    </w:rPr>
  </w:style>
  <w:style w:type="character" w:customStyle="1" w:styleId="57">
    <w:name w:val="日期 Char"/>
    <w:basedOn w:val="22"/>
    <w:link w:val="12"/>
    <w:semiHidden/>
    <w:qFormat/>
    <w:uiPriority w:val="99"/>
    <w:rPr>
      <w:rFonts w:ascii="Calibri" w:hAnsi="Calibri" w:eastAsia="宋体" w:cs="Times New Roman"/>
      <w:kern w:val="2"/>
      <w:sz w:val="21"/>
      <w:lang w:eastAsia="zh-CN" w:bidi="ar-SA"/>
    </w:rPr>
  </w:style>
  <w:style w:type="paragraph" w:customStyle="1" w:styleId="58">
    <w:name w:val="BodyText1I2"/>
    <w:basedOn w:val="1"/>
    <w:qFormat/>
    <w:uiPriority w:val="0"/>
    <w:pPr>
      <w:ind w:left="200" w:leftChars="200" w:firstLine="200" w:firstLineChars="200"/>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A426-8203-4338-B211-FB3EA8B7FB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5511</Words>
  <Characters>5761</Characters>
  <Lines>47</Lines>
  <Paragraphs>13</Paragraphs>
  <TotalTime>35</TotalTime>
  <ScaleCrop>false</ScaleCrop>
  <LinksUpToDate>false</LinksUpToDate>
  <CharactersWithSpaces>6361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2022-01-19T07:37:00Z</dcterms:created>
  <dc:creator>Windows 用户</dc:creator>
  <cp:lastModifiedBy>汪涛</cp:lastModifiedBy>
  <cp:lastPrinted>2020-08-25T05:49:00Z</cp:lastPrinted>
  <dcterms:modified xsi:type="dcterms:W3CDTF">2024-05-28T06:21:10Z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932DF3C2658C4500BBDD3EB04BE54796_12</vt:lpwstr>
  </property>
</Properties>
</file>