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D3386">
      <w:pPr>
        <w:pStyle w:val="18"/>
        <w:keepNext w:val="0"/>
        <w:keepLines w:val="0"/>
        <w:pageBreakBefore w:val="0"/>
        <w:widowControl/>
        <w:kinsoku/>
        <w:wordWrap/>
        <w:overflowPunct w:val="0"/>
        <w:topLinePunct/>
        <w:autoSpaceDE/>
        <w:autoSpaceDN/>
        <w:bidi w:val="0"/>
        <w:adjustRightInd/>
        <w:snapToGrid/>
        <w:spacing w:line="560" w:lineRule="exact"/>
        <w:textAlignment w:val="auto"/>
        <w:rPr>
          <w:rFonts w:hint="eastAsia" w:eastAsia="方正小标宋_GBK"/>
          <w:sz w:val="44"/>
          <w:szCs w:val="44"/>
          <w:lang w:val="en-US" w:eastAsia="zh-CN"/>
        </w:rPr>
      </w:pPr>
      <w:bookmarkStart w:id="1" w:name="_GoBack"/>
      <w:bookmarkEnd w:id="1"/>
      <w:r>
        <w:rPr>
          <w:sz w:val="44"/>
          <w:szCs w:val="44"/>
        </w:rPr>
        <w:t>关于</w:t>
      </w:r>
      <w:r>
        <w:rPr>
          <w:rFonts w:hint="eastAsia"/>
          <w:sz w:val="44"/>
          <w:szCs w:val="44"/>
          <w:lang w:eastAsia="zh-CN"/>
        </w:rPr>
        <w:t>对</w:t>
      </w:r>
      <w:r>
        <w:rPr>
          <w:rFonts w:hint="eastAsia"/>
          <w:sz w:val="44"/>
          <w:szCs w:val="44"/>
          <w:lang w:val="en-US" w:eastAsia="zh-CN"/>
        </w:rPr>
        <w:t>用电领域安全开展集中排查整治</w:t>
      </w:r>
      <w:r>
        <w:rPr>
          <w:sz w:val="44"/>
          <w:szCs w:val="44"/>
        </w:rPr>
        <w:t>的</w:t>
      </w:r>
      <w:r>
        <w:rPr>
          <w:rFonts w:hint="eastAsia"/>
          <w:sz w:val="44"/>
          <w:szCs w:val="44"/>
          <w:lang w:eastAsia="zh-CN"/>
        </w:rPr>
        <w:t>通知</w:t>
      </w:r>
    </w:p>
    <w:p w14:paraId="492D9C80">
      <w:pPr>
        <w:pStyle w:val="18"/>
        <w:keepNext w:val="0"/>
        <w:keepLines w:val="0"/>
        <w:pageBreakBefore w:val="0"/>
        <w:widowControl/>
        <w:kinsoku/>
        <w:wordWrap/>
        <w:overflowPunct w:val="0"/>
        <w:topLinePunct/>
        <w:autoSpaceDE/>
        <w:autoSpaceDN/>
        <w:bidi w:val="0"/>
        <w:adjustRightInd/>
        <w:snapToGrid/>
        <w:spacing w:line="560" w:lineRule="exact"/>
        <w:jc w:val="both"/>
        <w:textAlignment w:val="auto"/>
        <w:rPr>
          <w:rFonts w:hint="eastAsia" w:ascii="Times New Roman" w:hAnsi="Times New Roman" w:eastAsia="仿宋_GB2312" w:cs="Times New Roman"/>
          <w:i w:val="0"/>
          <w:color w:val="06071F"/>
          <w:kern w:val="2"/>
          <w:sz w:val="32"/>
          <w:szCs w:val="32"/>
          <w:lang w:val="en-US" w:eastAsia="zh-CN" w:bidi="ar-SA"/>
        </w:rPr>
      </w:pPr>
    </w:p>
    <w:p w14:paraId="34D84A35">
      <w:pPr>
        <w:pStyle w:val="18"/>
        <w:keepNext w:val="0"/>
        <w:keepLines w:val="0"/>
        <w:pageBreakBefore w:val="0"/>
        <w:widowControl/>
        <w:kinsoku/>
        <w:wordWrap/>
        <w:overflowPunct w:val="0"/>
        <w:topLinePunct/>
        <w:autoSpaceDE/>
        <w:autoSpaceDN/>
        <w:bidi w:val="0"/>
        <w:adjustRightInd/>
        <w:snapToGrid/>
        <w:spacing w:line="560" w:lineRule="exact"/>
        <w:jc w:val="both"/>
        <w:textAlignment w:val="auto"/>
        <w:rPr>
          <w:rFonts w:hint="eastAsia" w:ascii="Times New Roman" w:hAnsi="Times New Roman" w:eastAsia="仿宋_GB2312" w:cs="Times New Roman"/>
          <w:i w:val="0"/>
          <w:color w:val="06071F"/>
          <w:kern w:val="2"/>
          <w:sz w:val="32"/>
          <w:szCs w:val="32"/>
          <w:lang w:val="en-US" w:eastAsia="zh-CN" w:bidi="ar-SA"/>
        </w:rPr>
      </w:pPr>
      <w:r>
        <w:rPr>
          <w:rFonts w:hint="eastAsia" w:ascii="Times New Roman" w:hAnsi="Times New Roman" w:eastAsia="仿宋_GB2312" w:cs="Times New Roman"/>
          <w:i w:val="0"/>
          <w:color w:val="06071F"/>
          <w:kern w:val="2"/>
          <w:sz w:val="32"/>
          <w:szCs w:val="32"/>
          <w:lang w:val="en-US" w:eastAsia="zh-CN" w:bidi="ar-SA"/>
        </w:rPr>
        <w:t>市安委会各成员单位：</w:t>
      </w:r>
    </w:p>
    <w:p w14:paraId="79591C2D">
      <w:pPr>
        <w:pStyle w:val="14"/>
        <w:keepNext w:val="0"/>
        <w:keepLines w:val="0"/>
        <w:pageBreakBefore w:val="0"/>
        <w:widowControl/>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line="560" w:lineRule="exact"/>
        <w:textAlignment w:val="auto"/>
        <w:rPr>
          <w:i w:val="0"/>
          <w:color w:val="06071F"/>
        </w:rPr>
      </w:pPr>
      <w:r>
        <w:rPr>
          <w:rFonts w:hint="eastAsia"/>
          <w:i w:val="0"/>
          <w:color w:val="06071F"/>
          <w:lang w:val="en-US" w:eastAsia="zh-CN"/>
        </w:rPr>
        <w:t>近期，高温天气持续，各生产经营单位和居民用电量激增，供电领域安全防范压力增加。近年来，用电领域安全事故频发，造成重大人员伤亡和财产损失。</w:t>
      </w:r>
      <w:bookmarkStart w:id="0" w:name="OLE_LINK1"/>
      <w:r>
        <w:rPr>
          <w:rFonts w:hint="eastAsia"/>
          <w:i w:val="0"/>
          <w:color w:val="06071F"/>
          <w:lang w:val="en-US" w:eastAsia="zh-CN"/>
        </w:rPr>
        <w:t>2021年7月24日，长春市李氏婚纱店因摄影棚上部照明线路漏电击穿其穿线蛇皮金属管，引燃周围可燃仿真植物装饰材料，引发火灾事故，造成15人死亡、25人受伤。2024年4月8日，广西梧州市苍梧县岭脚镇人和社区一临街铺面因电气线路故障引发火灾，火灾造成5人死亡。2024年5月9日宜宾市江安县迎安镇石峰街村南建设路一沿街商铺因线路短路引燃周边可燃物蔓延成灾，造成2人受伤、20户受灾。2024年9月13日，广东省东莞市鸿宇酒店有限公司拆除作业现场发生一起触电事故，造成2人死亡。2024年9月22日，首都医科大学附属北京安贞医院通州院区进行LED手术无影灯施工时</w:t>
      </w:r>
      <w:r>
        <w:rPr>
          <w:i w:val="0"/>
          <w:color w:val="06071F"/>
        </w:rPr>
        <w:t>发生一起触电事故，致1</w:t>
      </w:r>
      <w:r>
        <w:rPr>
          <w:rFonts w:hint="eastAsia"/>
          <w:i w:val="0"/>
          <w:color w:val="06071F"/>
          <w:lang w:val="en-US" w:eastAsia="zh-CN"/>
        </w:rPr>
        <w:t>人</w:t>
      </w:r>
      <w:r>
        <w:rPr>
          <w:i w:val="0"/>
          <w:color w:val="06071F"/>
        </w:rPr>
        <w:t>死</w:t>
      </w:r>
      <w:bookmarkEnd w:id="0"/>
      <w:r>
        <w:rPr>
          <w:rFonts w:hint="eastAsia"/>
          <w:i w:val="0"/>
          <w:color w:val="06071F"/>
          <w:lang w:val="en-US" w:eastAsia="zh-CN"/>
        </w:rPr>
        <w:t>亡</w:t>
      </w:r>
      <w:r>
        <w:rPr>
          <w:rFonts w:hint="eastAsia"/>
          <w:i w:val="0"/>
          <w:color w:val="06071F"/>
          <w:lang w:eastAsia="zh-CN"/>
        </w:rPr>
        <w:t>。</w:t>
      </w:r>
      <w:r>
        <w:rPr>
          <w:rFonts w:hint="eastAsia"/>
          <w:i w:val="0"/>
          <w:color w:val="06071F"/>
          <w:lang w:val="en-US" w:eastAsia="zh-CN"/>
        </w:rPr>
        <w:t>2025年</w:t>
      </w:r>
      <w:r>
        <w:rPr>
          <w:i w:val="0"/>
          <w:color w:val="06071F"/>
        </w:rPr>
        <w:t>1月11日，山东</w:t>
      </w:r>
      <w:r>
        <w:rPr>
          <w:rFonts w:hint="eastAsia"/>
          <w:i w:val="0"/>
          <w:color w:val="06071F"/>
        </w:rPr>
        <w:t>枣庄滕州华电滕州新源热电有限公司</w:t>
      </w:r>
      <w:r>
        <w:rPr>
          <w:i w:val="0"/>
          <w:color w:val="06071F"/>
        </w:rPr>
        <w:t>在进行6kV电缆绝缘测量时，因操作不当导致2名作业人员触电身亡</w:t>
      </w:r>
      <w:r>
        <w:rPr>
          <w:rFonts w:hint="eastAsia"/>
          <w:i w:val="0"/>
          <w:color w:val="06071F"/>
          <w:lang w:eastAsia="zh-CN"/>
        </w:rPr>
        <w:t>。</w:t>
      </w:r>
      <w:r>
        <w:rPr>
          <w:i w:val="0"/>
          <w:color w:val="06071F"/>
        </w:rPr>
        <w:t>上述事件暴露出部分</w:t>
      </w:r>
      <w:r>
        <w:rPr>
          <w:rFonts w:hint="eastAsia"/>
          <w:i w:val="0"/>
          <w:color w:val="06071F"/>
          <w:lang w:val="en-US" w:eastAsia="zh-CN"/>
        </w:rPr>
        <w:t>用电客户</w:t>
      </w:r>
      <w:r>
        <w:rPr>
          <w:i w:val="0"/>
          <w:color w:val="06071F"/>
        </w:rPr>
        <w:t>在用电安全管理中存在严重漏洞，对安全生产构成重大威胁</w:t>
      </w:r>
      <w:r>
        <w:rPr>
          <w:rFonts w:hint="eastAsia"/>
          <w:i w:val="0"/>
          <w:color w:val="06071F"/>
          <w:lang w:eastAsia="zh-CN"/>
        </w:rPr>
        <w:t>，</w:t>
      </w:r>
      <w:r>
        <w:rPr>
          <w:i w:val="0"/>
          <w:color w:val="06071F"/>
        </w:rPr>
        <w:t>为深刻汲取教训，有效防范类似事故</w:t>
      </w:r>
      <w:r>
        <w:rPr>
          <w:rFonts w:hint="eastAsia"/>
          <w:i w:val="0"/>
          <w:color w:val="06071F"/>
          <w:lang w:eastAsia="zh-CN"/>
        </w:rPr>
        <w:t>发生</w:t>
      </w:r>
      <w:r>
        <w:rPr>
          <w:i w:val="0"/>
          <w:color w:val="06071F"/>
        </w:rPr>
        <w:t>。</w:t>
      </w:r>
      <w:r>
        <w:rPr>
          <w:rFonts w:hint="eastAsia"/>
          <w:i w:val="0"/>
          <w:color w:val="06071F"/>
          <w:lang w:val="en-US" w:eastAsia="zh-CN"/>
        </w:rPr>
        <w:t>根据市委市政府要求，结合</w:t>
      </w:r>
      <w:r>
        <w:rPr>
          <w:rFonts w:hint="eastAsia" w:ascii="仿宋_GB2312" w:hAnsi="仿宋_GB2312" w:eastAsia="仿宋_GB2312" w:cs="仿宋_GB2312"/>
          <w:sz w:val="32"/>
          <w:szCs w:val="32"/>
          <w:lang w:val="en-US" w:eastAsia="zh-CN"/>
        </w:rPr>
        <w:t>全市</w:t>
      </w:r>
      <w:r>
        <w:rPr>
          <w:rFonts w:hint="eastAsia" w:ascii="仿宋_GB2312" w:hAnsi="仿宋_GB2312" w:cs="仿宋_GB2312"/>
          <w:sz w:val="32"/>
          <w:szCs w:val="32"/>
          <w:lang w:val="en-US" w:eastAsia="zh-CN"/>
        </w:rPr>
        <w:t>正在</w:t>
      </w:r>
      <w:r>
        <w:rPr>
          <w:rFonts w:hint="eastAsia" w:ascii="仿宋_GB2312" w:hAnsi="仿宋_GB2312" w:eastAsia="仿宋_GB2312" w:cs="仿宋_GB2312"/>
          <w:sz w:val="32"/>
          <w:szCs w:val="32"/>
          <w:lang w:val="en-US" w:eastAsia="zh-CN"/>
        </w:rPr>
        <w:t>开展</w:t>
      </w:r>
      <w:r>
        <w:rPr>
          <w:rFonts w:hint="eastAsia" w:ascii="仿宋_GB2312" w:hAnsi="仿宋_GB2312" w:cs="仿宋_GB2312"/>
          <w:sz w:val="32"/>
          <w:szCs w:val="32"/>
          <w:lang w:val="en-US" w:eastAsia="zh-CN"/>
        </w:rPr>
        <w:t>的</w:t>
      </w:r>
      <w:r>
        <w:rPr>
          <w:rFonts w:hint="eastAsia" w:ascii="仿宋_GB2312" w:hAnsi="仿宋_GB2312" w:eastAsia="仿宋_GB2312" w:cs="仿宋_GB2312"/>
          <w:sz w:val="32"/>
          <w:szCs w:val="32"/>
          <w:lang w:val="en-US" w:eastAsia="zh-CN"/>
        </w:rPr>
        <w:t>涉电施工作业隐患排查专项整治行动</w:t>
      </w:r>
      <w:r>
        <w:rPr>
          <w:rFonts w:hint="eastAsia" w:ascii="仿宋_GB2312" w:hAnsi="仿宋_GB2312" w:cs="仿宋_GB2312"/>
          <w:sz w:val="32"/>
          <w:szCs w:val="32"/>
          <w:lang w:val="en-US" w:eastAsia="zh-CN"/>
        </w:rPr>
        <w:t>，</w:t>
      </w:r>
      <w:r>
        <w:rPr>
          <w:rFonts w:hint="eastAsia"/>
          <w:i w:val="0"/>
          <w:color w:val="06071F"/>
          <w:lang w:val="en-US" w:eastAsia="zh-CN"/>
        </w:rPr>
        <w:t>对全市用电领域安全进行全面排查整治。</w:t>
      </w:r>
    </w:p>
    <w:p w14:paraId="7A7FAB95">
      <w:pPr>
        <w:pStyle w:val="14"/>
        <w:keepNext w:val="0"/>
        <w:keepLines w:val="0"/>
        <w:pageBreakBefore w:val="0"/>
        <w:widowControl/>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line="560" w:lineRule="exact"/>
        <w:textAlignment w:val="auto"/>
        <w:rPr>
          <w:rFonts w:hint="eastAsia" w:ascii="黑体" w:hAnsi="黑体" w:eastAsia="黑体" w:cs="黑体"/>
          <w:b w:val="0"/>
          <w:highlight w:val="none"/>
        </w:rPr>
      </w:pPr>
      <w:r>
        <w:rPr>
          <w:rFonts w:hint="eastAsia" w:ascii="黑体" w:hAnsi="黑体" w:eastAsia="黑体" w:cs="黑体"/>
          <w:i w:val="0"/>
          <w:color w:val="06071F"/>
          <w:lang w:val="en-US" w:eastAsia="zh-CN"/>
        </w:rPr>
        <w:t>一、排查整治</w:t>
      </w:r>
      <w:r>
        <w:rPr>
          <w:rFonts w:hint="eastAsia" w:ascii="黑体" w:hAnsi="黑体" w:eastAsia="黑体" w:cs="黑体"/>
          <w:highlight w:val="none"/>
        </w:rPr>
        <w:t>范围</w:t>
      </w:r>
    </w:p>
    <w:p w14:paraId="69DC70D7">
      <w:pPr>
        <w:pStyle w:val="14"/>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line="560" w:lineRule="exact"/>
        <w:ind w:firstLine="632" w:firstLineChars="200"/>
        <w:textAlignment w:val="auto"/>
        <w:rPr>
          <w:b w:val="0"/>
          <w:highlight w:val="none"/>
        </w:rPr>
      </w:pPr>
      <w:r>
        <w:rPr>
          <w:i w:val="0"/>
          <w:color w:val="06071F"/>
          <w:highlight w:val="none"/>
        </w:rPr>
        <w:t>全市范围内10KV及以上高压企业（含重要电力用户）</w:t>
      </w:r>
      <w:r>
        <w:rPr>
          <w:rFonts w:hint="eastAsia"/>
          <w:i w:val="0"/>
          <w:color w:val="06071F"/>
          <w:highlight w:val="none"/>
          <w:lang w:val="en-US" w:eastAsia="zh-CN"/>
        </w:rPr>
        <w:t>以及小医疗、小教育机构、小网吧、小休闲健身场所等“九小场所”商户</w:t>
      </w:r>
      <w:r>
        <w:rPr>
          <w:i w:val="0"/>
          <w:color w:val="06071F"/>
          <w:highlight w:val="none"/>
        </w:rPr>
        <w:t>开展全面检查。</w:t>
      </w:r>
      <w:r>
        <w:rPr>
          <w:rFonts w:hint="eastAsia"/>
          <w:i w:val="0"/>
          <w:color w:val="06071F"/>
          <w:highlight w:val="none"/>
          <w:lang w:eastAsia="zh-CN"/>
        </w:rPr>
        <w:t>要将</w:t>
      </w:r>
      <w:r>
        <w:rPr>
          <w:rFonts w:hint="eastAsia"/>
          <w:i w:val="0"/>
          <w:color w:val="06071F"/>
          <w:highlight w:val="none"/>
          <w:lang w:val="en-US" w:eastAsia="zh-CN"/>
        </w:rPr>
        <w:t>医药健康</w:t>
      </w:r>
      <w:r>
        <w:rPr>
          <w:i w:val="0"/>
          <w:color w:val="06071F"/>
          <w:highlight w:val="none"/>
        </w:rPr>
        <w:t>、</w:t>
      </w:r>
      <w:r>
        <w:rPr>
          <w:rFonts w:hint="eastAsia"/>
          <w:i w:val="0"/>
          <w:color w:val="06071F"/>
          <w:highlight w:val="none"/>
          <w:lang w:val="en-US" w:eastAsia="zh-CN"/>
        </w:rPr>
        <w:t>食品加工</w:t>
      </w:r>
      <w:r>
        <w:rPr>
          <w:i w:val="0"/>
          <w:color w:val="06071F"/>
          <w:highlight w:val="none"/>
        </w:rPr>
        <w:t>等</w:t>
      </w:r>
      <w:r>
        <w:rPr>
          <w:rFonts w:hint="eastAsia"/>
          <w:i w:val="0"/>
          <w:color w:val="06071F"/>
          <w:highlight w:val="none"/>
          <w:lang w:val="en-US" w:eastAsia="zh-CN"/>
        </w:rPr>
        <w:t>重点</w:t>
      </w:r>
      <w:r>
        <w:rPr>
          <w:i w:val="0"/>
          <w:color w:val="06071F"/>
          <w:highlight w:val="none"/>
        </w:rPr>
        <w:t>企业，以及供电中断易引发重大事故的重要</w:t>
      </w:r>
      <w:r>
        <w:rPr>
          <w:rFonts w:hint="eastAsia"/>
          <w:i w:val="0"/>
          <w:color w:val="06071F"/>
          <w:highlight w:val="none"/>
          <w:lang w:val="en-US" w:eastAsia="zh-CN"/>
        </w:rPr>
        <w:t>民生</w:t>
      </w:r>
      <w:r>
        <w:rPr>
          <w:i w:val="0"/>
          <w:color w:val="06071F"/>
          <w:highlight w:val="none"/>
        </w:rPr>
        <w:t>用户（如医院、交通枢纽、通信枢纽等）</w:t>
      </w:r>
      <w:r>
        <w:rPr>
          <w:rFonts w:hint="eastAsia"/>
          <w:i w:val="0"/>
          <w:color w:val="06071F"/>
          <w:highlight w:val="none"/>
          <w:lang w:eastAsia="zh-CN"/>
        </w:rPr>
        <w:t>作为排查整治重点</w:t>
      </w:r>
      <w:r>
        <w:rPr>
          <w:i w:val="0"/>
          <w:color w:val="06071F"/>
          <w:highlight w:val="none"/>
        </w:rPr>
        <w:t>。</w:t>
      </w:r>
    </w:p>
    <w:p w14:paraId="569836DE">
      <w:pPr>
        <w:pStyle w:val="5"/>
        <w:pageBreakBefore w:val="0"/>
        <w:widowControl/>
        <w:numPr>
          <w:ilvl w:val="0"/>
          <w:numId w:val="0"/>
        </w:numPr>
        <w:kinsoku/>
        <w:wordWrap/>
        <w:overflowPunct w:val="0"/>
        <w:topLinePunct/>
        <w:autoSpaceDE/>
        <w:autoSpaceDN/>
        <w:bidi w:val="0"/>
        <w:adjustRightInd/>
        <w:snapToGrid/>
        <w:spacing w:line="560" w:lineRule="exact"/>
        <w:ind w:left="640" w:leftChars="0"/>
        <w:textAlignment w:val="auto"/>
        <w:rPr>
          <w:b w:val="0"/>
          <w:highlight w:val="none"/>
        </w:rPr>
      </w:pPr>
      <w:r>
        <w:rPr>
          <w:rFonts w:hint="eastAsia"/>
          <w:highlight w:val="none"/>
          <w:lang w:val="en-US" w:eastAsia="zh-CN"/>
        </w:rPr>
        <w:t>二、排查整治</w:t>
      </w:r>
      <w:r>
        <w:rPr>
          <w:highlight w:val="none"/>
        </w:rPr>
        <w:t>内容</w:t>
      </w:r>
    </w:p>
    <w:p w14:paraId="24776412">
      <w:pPr>
        <w:pStyle w:val="14"/>
        <w:pageBreakBefore w:val="0"/>
        <w:widowControl/>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line="560" w:lineRule="exact"/>
        <w:textAlignment w:val="auto"/>
        <w:rPr>
          <w:i w:val="0"/>
          <w:color w:val="06071F"/>
          <w:highlight w:val="none"/>
        </w:rPr>
      </w:pPr>
      <w:r>
        <w:rPr>
          <w:i w:val="0"/>
          <w:color w:val="06071F"/>
          <w:highlight w:val="none"/>
        </w:rPr>
        <w:t>结合事故教训，对</w:t>
      </w:r>
      <w:r>
        <w:rPr>
          <w:rFonts w:hint="eastAsia"/>
          <w:i w:val="0"/>
          <w:color w:val="06071F"/>
          <w:highlight w:val="none"/>
          <w:lang w:val="en-US" w:eastAsia="zh-CN"/>
        </w:rPr>
        <w:t>高压及重要用户</w:t>
      </w:r>
      <w:r>
        <w:rPr>
          <w:i w:val="0"/>
          <w:color w:val="06071F"/>
          <w:highlight w:val="none"/>
        </w:rPr>
        <w:t>人员资质与安全教育、制度规程建立与执行、设备设施运行管理、储能电站运维管理、预防性试验与无功补偿、安全工器具与防护用品、继电保护及自动化装置、应急管理与预案演练、重要用户管理共八个方面，20项检查内容，</w:t>
      </w:r>
      <w:r>
        <w:rPr>
          <w:rFonts w:hint="eastAsia"/>
          <w:i w:val="0"/>
          <w:color w:val="06071F"/>
          <w:highlight w:val="none"/>
          <w:lang w:val="en-US" w:eastAsia="zh-CN"/>
        </w:rPr>
        <w:t>对“九小场所”电气线路、电气设备、运维管理三</w:t>
      </w:r>
      <w:r>
        <w:rPr>
          <w:i w:val="0"/>
          <w:color w:val="06071F"/>
          <w:highlight w:val="none"/>
        </w:rPr>
        <w:t>个方面，</w:t>
      </w:r>
      <w:r>
        <w:rPr>
          <w:rFonts w:hint="eastAsia"/>
          <w:i w:val="0"/>
          <w:color w:val="06071F"/>
          <w:highlight w:val="none"/>
          <w:lang w:val="en-US" w:eastAsia="zh-CN"/>
        </w:rPr>
        <w:t>18</w:t>
      </w:r>
      <w:r>
        <w:rPr>
          <w:i w:val="0"/>
          <w:color w:val="06071F"/>
          <w:highlight w:val="none"/>
        </w:rPr>
        <w:t>项检查内容进行核查</w:t>
      </w:r>
      <w:r>
        <w:rPr>
          <w:rFonts w:hint="eastAsia"/>
          <w:i w:val="0"/>
          <w:color w:val="06071F"/>
          <w:highlight w:val="none"/>
          <w:lang w:eastAsia="zh-CN"/>
        </w:rPr>
        <w:t>，</w:t>
      </w:r>
      <w:r>
        <w:rPr>
          <w:i w:val="0"/>
          <w:color w:val="06071F"/>
          <w:highlight w:val="none"/>
        </w:rPr>
        <w:t>具体标准要求详见附件。</w:t>
      </w:r>
    </w:p>
    <w:p w14:paraId="0767DC5B">
      <w:pPr>
        <w:pStyle w:val="14"/>
        <w:pageBreakBefore w:val="0"/>
        <w:widowControl/>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line="560" w:lineRule="exact"/>
        <w:textAlignment w:val="auto"/>
        <w:rPr>
          <w:rFonts w:hint="eastAsia" w:ascii="Times New Roman" w:hAnsi="Times New Roman" w:eastAsia="黑体" w:cs="Times New Roman"/>
          <w:kern w:val="44"/>
          <w:sz w:val="32"/>
          <w:szCs w:val="32"/>
          <w:highlight w:val="none"/>
          <w:lang w:val="en-US" w:eastAsia="zh-CN" w:bidi="ar-SA"/>
        </w:rPr>
      </w:pPr>
      <w:r>
        <w:rPr>
          <w:rFonts w:hint="eastAsia" w:ascii="Times New Roman" w:hAnsi="Times New Roman" w:eastAsia="黑体" w:cs="Times New Roman"/>
          <w:kern w:val="44"/>
          <w:sz w:val="32"/>
          <w:szCs w:val="32"/>
          <w:highlight w:val="none"/>
          <w:lang w:val="en-US" w:eastAsia="zh-CN" w:bidi="ar-SA"/>
        </w:rPr>
        <w:t>三、时间安排</w:t>
      </w:r>
    </w:p>
    <w:p w14:paraId="204970E1">
      <w:pPr>
        <w:pStyle w:val="14"/>
        <w:pageBreakBefore w:val="0"/>
        <w:widowControl/>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line="560" w:lineRule="exact"/>
        <w:textAlignment w:val="auto"/>
        <w:rPr>
          <w:rFonts w:hint="default"/>
          <w:i w:val="0"/>
          <w:color w:val="06071F"/>
          <w:highlight w:val="none"/>
          <w:lang w:val="en-US" w:eastAsia="zh-CN"/>
        </w:rPr>
      </w:pPr>
      <w:r>
        <w:rPr>
          <w:rFonts w:hint="eastAsia"/>
          <w:i w:val="0"/>
          <w:color w:val="06071F"/>
          <w:highlight w:val="none"/>
          <w:lang w:eastAsia="zh-CN"/>
        </w:rPr>
        <w:t>从</w:t>
      </w:r>
      <w:r>
        <w:rPr>
          <w:rFonts w:hint="eastAsia"/>
          <w:i w:val="0"/>
          <w:color w:val="06071F"/>
          <w:highlight w:val="none"/>
          <w:lang w:val="en-US" w:eastAsia="zh-CN"/>
        </w:rPr>
        <w:t>7月10开始，至12月10日结束。</w:t>
      </w:r>
    </w:p>
    <w:p w14:paraId="37CF8F98">
      <w:pPr>
        <w:pStyle w:val="5"/>
        <w:pageBreakBefore w:val="0"/>
        <w:widowControl/>
        <w:numPr>
          <w:ilvl w:val="0"/>
          <w:numId w:val="0"/>
        </w:numPr>
        <w:kinsoku/>
        <w:wordWrap/>
        <w:overflowPunct w:val="0"/>
        <w:topLinePunct/>
        <w:autoSpaceDE/>
        <w:autoSpaceDN/>
        <w:bidi w:val="0"/>
        <w:adjustRightInd/>
        <w:snapToGrid/>
        <w:spacing w:line="560" w:lineRule="exact"/>
        <w:ind w:left="640" w:leftChars="0"/>
        <w:textAlignment w:val="auto"/>
        <w:rPr>
          <w:rFonts w:hint="eastAsia" w:ascii="Times New Roman" w:hAnsi="Times New Roman" w:eastAsia="黑体" w:cs="Times New Roman"/>
          <w:kern w:val="44"/>
          <w:sz w:val="32"/>
          <w:szCs w:val="32"/>
          <w:highlight w:val="none"/>
          <w:lang w:val="en-US" w:eastAsia="zh-CN" w:bidi="ar-SA"/>
        </w:rPr>
      </w:pPr>
      <w:r>
        <w:rPr>
          <w:rFonts w:hint="eastAsia" w:cs="Times New Roman"/>
          <w:kern w:val="44"/>
          <w:sz w:val="32"/>
          <w:szCs w:val="32"/>
          <w:highlight w:val="none"/>
          <w:lang w:val="en-US" w:eastAsia="zh-CN" w:bidi="ar-SA"/>
        </w:rPr>
        <w:t>四</w:t>
      </w:r>
      <w:r>
        <w:rPr>
          <w:rFonts w:hint="eastAsia" w:eastAsia="黑体" w:cs="Times New Roman"/>
          <w:kern w:val="44"/>
          <w:sz w:val="32"/>
          <w:szCs w:val="32"/>
          <w:highlight w:val="none"/>
          <w:lang w:val="en-US" w:eastAsia="zh-CN" w:bidi="ar-SA"/>
        </w:rPr>
        <w:t>、</w:t>
      </w:r>
      <w:r>
        <w:rPr>
          <w:rFonts w:hint="eastAsia" w:ascii="Times New Roman" w:hAnsi="Times New Roman" w:eastAsia="黑体" w:cs="Times New Roman"/>
          <w:kern w:val="44"/>
          <w:sz w:val="32"/>
          <w:szCs w:val="32"/>
          <w:highlight w:val="none"/>
          <w:lang w:val="en-US" w:eastAsia="zh-CN" w:bidi="ar-SA"/>
        </w:rPr>
        <w:t>工作要求</w:t>
      </w:r>
    </w:p>
    <w:p w14:paraId="7762B073">
      <w:pPr>
        <w:pStyle w:val="14"/>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line="560" w:lineRule="exact"/>
        <w:ind w:firstLine="632" w:firstLineChars="200"/>
        <w:textAlignment w:val="auto"/>
        <w:rPr>
          <w:rFonts w:hint="eastAsia"/>
          <w:i w:val="0"/>
          <w:color w:val="06071F"/>
          <w:highlight w:val="none"/>
          <w:lang w:val="en-US" w:eastAsia="zh-CN"/>
        </w:rPr>
      </w:pPr>
      <w:r>
        <w:rPr>
          <w:rFonts w:hint="eastAsia"/>
          <w:i w:val="0"/>
          <w:color w:val="06071F"/>
          <w:highlight w:val="none"/>
          <w:lang w:val="en-US" w:eastAsia="zh-CN"/>
        </w:rPr>
        <w:t>各部门、各乡镇（街道）要高度重视，对本行业（领域）内用电企业进行排查检查，</w:t>
      </w:r>
      <w:r>
        <w:rPr>
          <w:i w:val="0"/>
          <w:color w:val="06071F"/>
          <w:highlight w:val="none"/>
        </w:rPr>
        <w:t>督促</w:t>
      </w:r>
      <w:r>
        <w:rPr>
          <w:rFonts w:hint="eastAsia"/>
          <w:i w:val="0"/>
          <w:color w:val="06071F"/>
          <w:highlight w:val="none"/>
          <w:lang w:val="en-US" w:eastAsia="zh-CN"/>
        </w:rPr>
        <w:t>本辖区用户</w:t>
      </w:r>
      <w:r>
        <w:rPr>
          <w:i w:val="0"/>
          <w:color w:val="06071F"/>
          <w:highlight w:val="none"/>
        </w:rPr>
        <w:t>建立月度自查制度，对照标准开展电气安全自查，建立隐患整改台账并报属地电力部门及行业监管部门备案。</w:t>
      </w:r>
      <w:r>
        <w:rPr>
          <w:rFonts w:hint="eastAsia" w:eastAsia="仿宋_GB2312" w:cs="Times New Roman"/>
          <w:i w:val="0"/>
          <w:color w:val="06071F"/>
          <w:kern w:val="2"/>
          <w:sz w:val="32"/>
          <w:szCs w:val="32"/>
          <w:highlight w:val="none"/>
          <w:lang w:val="en-US" w:eastAsia="zh-CN" w:bidi="ar-SA"/>
        </w:rPr>
        <w:t>各相关部门和各属地乡镇</w:t>
      </w:r>
      <w:r>
        <w:rPr>
          <w:rFonts w:hint="eastAsia" w:cs="Times New Roman"/>
          <w:i w:val="0"/>
          <w:color w:val="06071F"/>
          <w:kern w:val="2"/>
          <w:sz w:val="32"/>
          <w:szCs w:val="32"/>
          <w:highlight w:val="none"/>
          <w:lang w:val="en-US" w:eastAsia="zh-CN" w:bidi="ar-SA"/>
        </w:rPr>
        <w:t>（</w:t>
      </w:r>
      <w:r>
        <w:rPr>
          <w:rFonts w:hint="eastAsia" w:eastAsia="仿宋_GB2312" w:cs="Times New Roman"/>
          <w:i w:val="0"/>
          <w:color w:val="06071F"/>
          <w:kern w:val="2"/>
          <w:sz w:val="32"/>
          <w:szCs w:val="32"/>
          <w:highlight w:val="none"/>
          <w:lang w:val="en-US" w:eastAsia="zh-CN" w:bidi="ar-SA"/>
        </w:rPr>
        <w:t>街道</w:t>
      </w:r>
      <w:r>
        <w:rPr>
          <w:rFonts w:hint="eastAsia" w:cs="Times New Roman"/>
          <w:i w:val="0"/>
          <w:color w:val="06071F"/>
          <w:kern w:val="2"/>
          <w:sz w:val="32"/>
          <w:szCs w:val="32"/>
          <w:highlight w:val="none"/>
          <w:lang w:val="en-US" w:eastAsia="zh-CN" w:bidi="ar-SA"/>
        </w:rPr>
        <w:t>）</w:t>
      </w:r>
      <w:r>
        <w:rPr>
          <w:rFonts w:hint="eastAsia" w:eastAsia="仿宋_GB2312" w:cs="Times New Roman"/>
          <w:i w:val="0"/>
          <w:color w:val="06071F"/>
          <w:kern w:val="2"/>
          <w:sz w:val="32"/>
          <w:szCs w:val="32"/>
          <w:highlight w:val="none"/>
          <w:lang w:val="en-US" w:eastAsia="zh-CN" w:bidi="ar-SA"/>
        </w:rPr>
        <w:t>要主动与国网供电公司对接，搞好工作配合</w:t>
      </w:r>
      <w:r>
        <w:rPr>
          <w:rFonts w:hint="eastAsia" w:cs="Times New Roman"/>
          <w:i w:val="0"/>
          <w:color w:val="06071F"/>
          <w:kern w:val="2"/>
          <w:sz w:val="32"/>
          <w:szCs w:val="32"/>
          <w:highlight w:val="none"/>
          <w:lang w:val="en-US" w:eastAsia="zh-CN" w:bidi="ar-SA"/>
        </w:rPr>
        <w:t>，充分发挥供电公司指导作用。</w:t>
      </w:r>
      <w:r>
        <w:rPr>
          <w:rFonts w:hint="eastAsia" w:ascii="Times New Roman" w:hAnsi="Times New Roman" w:eastAsia="仿宋_GB2312" w:cs="Times New Roman"/>
          <w:i w:val="0"/>
          <w:color w:val="06071F"/>
          <w:kern w:val="2"/>
          <w:sz w:val="32"/>
          <w:szCs w:val="32"/>
          <w:highlight w:val="none"/>
          <w:lang w:val="en-US" w:eastAsia="zh-CN" w:bidi="ar-SA"/>
        </w:rPr>
        <w:t>供电公司</w:t>
      </w:r>
      <w:r>
        <w:rPr>
          <w:rFonts w:hint="eastAsia" w:cs="Times New Roman"/>
          <w:i w:val="0"/>
          <w:color w:val="06071F"/>
          <w:kern w:val="2"/>
          <w:sz w:val="32"/>
          <w:szCs w:val="32"/>
          <w:highlight w:val="none"/>
          <w:lang w:val="en-US" w:eastAsia="zh-CN" w:bidi="ar-SA"/>
        </w:rPr>
        <w:t>要</w:t>
      </w:r>
      <w:r>
        <w:rPr>
          <w:rFonts w:hint="eastAsia" w:eastAsia="仿宋_GB2312" w:cs="Times New Roman"/>
          <w:i w:val="0"/>
          <w:color w:val="06071F"/>
          <w:kern w:val="2"/>
          <w:sz w:val="32"/>
          <w:szCs w:val="32"/>
          <w:highlight w:val="none"/>
          <w:lang w:val="en-US" w:eastAsia="zh-CN" w:bidi="ar-SA"/>
        </w:rPr>
        <w:t>制定工作计划，组织专业人员开展排查</w:t>
      </w:r>
      <w:r>
        <w:rPr>
          <w:rFonts w:hint="eastAsia" w:cs="Times New Roman"/>
          <w:i w:val="0"/>
          <w:color w:val="06071F"/>
          <w:kern w:val="2"/>
          <w:sz w:val="32"/>
          <w:szCs w:val="32"/>
          <w:highlight w:val="none"/>
          <w:lang w:val="en-US" w:eastAsia="zh-CN" w:bidi="ar-SA"/>
        </w:rPr>
        <w:t>；要科学制定</w:t>
      </w:r>
      <w:r>
        <w:rPr>
          <w:i w:val="0"/>
          <w:color w:val="06071F"/>
          <w:highlight w:val="none"/>
        </w:rPr>
        <w:t>《用电安全检查标准清单》</w:t>
      </w:r>
      <w:r>
        <w:rPr>
          <w:rFonts w:hint="eastAsia"/>
          <w:i w:val="0"/>
          <w:color w:val="06071F"/>
          <w:highlight w:val="none"/>
          <w:lang w:eastAsia="zh-CN"/>
        </w:rPr>
        <w:t>，按照清单</w:t>
      </w:r>
      <w:r>
        <w:rPr>
          <w:i w:val="0"/>
          <w:color w:val="06071F"/>
          <w:highlight w:val="none"/>
        </w:rPr>
        <w:t>逐项核查，</w:t>
      </w:r>
      <w:r>
        <w:rPr>
          <w:rFonts w:hint="eastAsia"/>
          <w:i w:val="0"/>
          <w:color w:val="06071F"/>
          <w:highlight w:val="none"/>
          <w:lang w:eastAsia="zh-CN"/>
        </w:rPr>
        <w:t>同步</w:t>
      </w:r>
      <w:r>
        <w:rPr>
          <w:rFonts w:hint="eastAsia"/>
          <w:i w:val="0"/>
          <w:color w:val="06071F"/>
          <w:highlight w:val="none"/>
          <w:lang w:val="en-US" w:eastAsia="zh-CN"/>
        </w:rPr>
        <w:t>建立隐患清单和整改整治清单，确保整治有效落地</w:t>
      </w:r>
      <w:r>
        <w:rPr>
          <w:rFonts w:hint="eastAsia" w:eastAsia="仿宋_GB2312" w:cs="Times New Roman"/>
          <w:i w:val="0"/>
          <w:color w:val="06071F"/>
          <w:kern w:val="2"/>
          <w:sz w:val="32"/>
          <w:szCs w:val="32"/>
          <w:highlight w:val="none"/>
          <w:lang w:val="en-US" w:eastAsia="zh-CN" w:bidi="ar-SA"/>
        </w:rPr>
        <w:t>；</w:t>
      </w:r>
      <w:r>
        <w:rPr>
          <w:rFonts w:hint="eastAsia"/>
          <w:i w:val="0"/>
          <w:color w:val="06071F"/>
          <w:highlight w:val="none"/>
          <w:lang w:val="en-US" w:eastAsia="zh-CN"/>
        </w:rPr>
        <w:t>供电公司要加强</w:t>
      </w:r>
      <w:r>
        <w:rPr>
          <w:rFonts w:hint="default"/>
          <w:i w:val="0"/>
          <w:color w:val="06071F"/>
          <w:highlight w:val="none"/>
          <w:lang w:val="en-US" w:eastAsia="zh-CN"/>
        </w:rPr>
        <w:t>日常巡检与隐患排查</w:t>
      </w:r>
      <w:r>
        <w:rPr>
          <w:rFonts w:hint="eastAsia"/>
          <w:i w:val="0"/>
          <w:color w:val="06071F"/>
          <w:highlight w:val="none"/>
          <w:lang w:val="en-US" w:eastAsia="zh-CN"/>
        </w:rPr>
        <w:t>，</w:t>
      </w:r>
      <w:r>
        <w:rPr>
          <w:rFonts w:hint="default"/>
          <w:i w:val="0"/>
          <w:color w:val="06071F"/>
          <w:highlight w:val="none"/>
          <w:lang w:val="en-US" w:eastAsia="zh-CN"/>
        </w:rPr>
        <w:t>定期对公共配电线路、变压器、表箱等设备进行红外测温、绝缘检测，重点排查老化、过载、私拉乱接等问题</w:t>
      </w:r>
      <w:r>
        <w:rPr>
          <w:rFonts w:hint="eastAsia"/>
          <w:i w:val="0"/>
          <w:color w:val="06071F"/>
          <w:highlight w:val="none"/>
          <w:lang w:val="en-US" w:eastAsia="zh-CN"/>
        </w:rPr>
        <w:t>；</w:t>
      </w:r>
      <w:r>
        <w:rPr>
          <w:rFonts w:hint="default"/>
          <w:i w:val="0"/>
          <w:color w:val="06071F"/>
          <w:highlight w:val="none"/>
          <w:lang w:val="en-US" w:eastAsia="zh-CN"/>
        </w:rPr>
        <w:t>针对企业用户，重点检查漏电保护装置、应急预案及电工持证上岗情况</w:t>
      </w:r>
      <w:r>
        <w:rPr>
          <w:rFonts w:hint="eastAsia"/>
          <w:i w:val="0"/>
          <w:color w:val="06071F"/>
          <w:highlight w:val="none"/>
          <w:lang w:val="en-US" w:eastAsia="zh-CN"/>
        </w:rPr>
        <w:t>；</w:t>
      </w:r>
      <w:r>
        <w:rPr>
          <w:rFonts w:hint="default"/>
          <w:i w:val="0"/>
          <w:color w:val="06071F"/>
          <w:highlight w:val="none"/>
          <w:lang w:val="en-US" w:eastAsia="zh-CN"/>
        </w:rPr>
        <w:t>对排查发现的隐患，分类建立台账（一般隐患、重大隐患），明确整改责任人、时限及措施</w:t>
      </w:r>
      <w:r>
        <w:rPr>
          <w:rFonts w:hint="eastAsia"/>
          <w:i w:val="0"/>
          <w:color w:val="06071F"/>
          <w:highlight w:val="none"/>
          <w:lang w:val="en-US" w:eastAsia="zh-CN"/>
        </w:rPr>
        <w:t>；</w:t>
      </w:r>
      <w:r>
        <w:rPr>
          <w:rFonts w:hint="default"/>
          <w:i w:val="0"/>
          <w:color w:val="06071F"/>
          <w:highlight w:val="none"/>
          <w:lang w:val="en-US" w:eastAsia="zh-CN"/>
        </w:rPr>
        <w:t>对拒不整改的用户（如违规使用 “黑作坊” 电器、私改线路），依法采取停电措施，并通报相关部门</w:t>
      </w:r>
      <w:r>
        <w:rPr>
          <w:rFonts w:hint="eastAsia"/>
          <w:i w:val="0"/>
          <w:color w:val="06071F"/>
          <w:highlight w:val="none"/>
          <w:lang w:val="en-US" w:eastAsia="zh-CN"/>
        </w:rPr>
        <w:t>处理。</w:t>
      </w:r>
    </w:p>
    <w:p w14:paraId="07F85434">
      <w:pPr>
        <w:pStyle w:val="5"/>
        <w:pageBreakBefore w:val="0"/>
        <w:widowControl/>
        <w:numPr>
          <w:ilvl w:val="0"/>
          <w:numId w:val="0"/>
        </w:numPr>
        <w:kinsoku/>
        <w:wordWrap/>
        <w:overflowPunct w:val="0"/>
        <w:topLinePunct/>
        <w:autoSpaceDE/>
        <w:autoSpaceDN/>
        <w:bidi w:val="0"/>
        <w:adjustRightInd/>
        <w:snapToGrid/>
        <w:spacing w:line="560" w:lineRule="exact"/>
        <w:ind w:firstLine="632" w:firstLineChars="200"/>
        <w:textAlignment w:val="auto"/>
        <w:rPr>
          <w:rFonts w:hint="eastAsia" w:ascii="Times New Roman" w:hAnsi="Times New Roman" w:eastAsia="仿宋_GB2312" w:cs="Times New Roman"/>
          <w:i w:val="0"/>
          <w:color w:val="06071F"/>
          <w:kern w:val="2"/>
          <w:sz w:val="32"/>
          <w:szCs w:val="32"/>
          <w:highlight w:val="none"/>
          <w:lang w:val="en-US" w:eastAsia="zh-CN" w:bidi="ar-SA"/>
        </w:rPr>
      </w:pPr>
    </w:p>
    <w:p w14:paraId="433157CF">
      <w:pPr>
        <w:pStyle w:val="14"/>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line="560" w:lineRule="exact"/>
        <w:ind w:left="640" w:leftChars="0"/>
        <w:textAlignment w:val="auto"/>
        <w:rPr>
          <w:rFonts w:hint="eastAsia" w:ascii="Times New Roman" w:hAnsi="Times New Roman" w:eastAsia="黑体" w:cs="Times New Roman"/>
          <w:kern w:val="44"/>
          <w:sz w:val="32"/>
          <w:szCs w:val="32"/>
          <w:highlight w:val="none"/>
          <w:lang w:val="en-US" w:eastAsia="zh-CN" w:bidi="ar-SA"/>
        </w:rPr>
      </w:pPr>
    </w:p>
    <w:p w14:paraId="6A109AC3">
      <w:pPr>
        <w:pStyle w:val="14"/>
        <w:pageBreakBefore w:val="0"/>
        <w:widowControl/>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line="560" w:lineRule="exact"/>
        <w:textAlignment w:val="auto"/>
        <w:rPr>
          <w:i w:val="0"/>
          <w:color w:val="06071F"/>
          <w:highlight w:val="none"/>
        </w:rPr>
      </w:pPr>
    </w:p>
    <w:p w14:paraId="7A16A3DB">
      <w:pPr>
        <w:pStyle w:val="14"/>
        <w:pageBreakBefore w:val="0"/>
        <w:widowControl/>
        <w:pBdr>
          <w:top w:val="none" w:color="auto" w:sz="0" w:space="0"/>
          <w:left w:val="none" w:color="auto" w:sz="0" w:space="0"/>
          <w:bottom w:val="none" w:color="auto" w:sz="0" w:space="0"/>
          <w:right w:val="none" w:color="auto" w:sz="0" w:space="0"/>
        </w:pBdr>
        <w:kinsoku/>
        <w:wordWrap/>
        <w:overflowPunct w:val="0"/>
        <w:topLinePunct/>
        <w:autoSpaceDE/>
        <w:autoSpaceDN/>
        <w:bidi w:val="0"/>
        <w:adjustRightInd/>
        <w:snapToGrid/>
        <w:spacing w:line="560" w:lineRule="exact"/>
        <w:textAlignment w:val="auto"/>
        <w:rPr>
          <w:rFonts w:hint="eastAsia"/>
          <w:i w:val="0"/>
          <w:color w:val="06071F"/>
          <w:highlight w:val="none"/>
          <w:lang w:val="en-US" w:eastAsia="zh-CN"/>
        </w:rPr>
      </w:pPr>
      <w:r>
        <w:rPr>
          <w:i w:val="0"/>
          <w:color w:val="06071F"/>
          <w:highlight w:val="none"/>
        </w:rPr>
        <w:t>附件：《用电企业安全检查标准清单》</w:t>
      </w:r>
    </w:p>
    <w:p w14:paraId="6910391D">
      <w:pPr>
        <w:pStyle w:val="14"/>
        <w:pageBreakBefore w:val="0"/>
        <w:widowControl/>
        <w:pBdr>
          <w:top w:val="none" w:color="auto" w:sz="0" w:space="0"/>
          <w:left w:val="none" w:color="auto" w:sz="0" w:space="0"/>
          <w:bottom w:val="none" w:color="auto" w:sz="0" w:space="0"/>
          <w:right w:val="none" w:color="auto" w:sz="0" w:space="0"/>
        </w:pBdr>
        <w:tabs>
          <w:tab w:val="left" w:pos="8820"/>
        </w:tabs>
        <w:kinsoku/>
        <w:wordWrap/>
        <w:overflowPunct w:val="0"/>
        <w:topLinePunct/>
        <w:autoSpaceDE/>
        <w:autoSpaceDN/>
        <w:bidi w:val="0"/>
        <w:adjustRightInd/>
        <w:snapToGrid/>
        <w:spacing w:line="560" w:lineRule="exact"/>
        <w:ind w:right="5" w:rightChars="0" w:firstLine="0" w:firstLineChars="0"/>
        <w:jc w:val="right"/>
        <w:textAlignment w:val="auto"/>
        <w:rPr>
          <w:rFonts w:hint="eastAsia"/>
          <w:i w:val="0"/>
          <w:color w:val="06071F"/>
          <w:highlight w:val="none"/>
          <w:lang w:val="en-US" w:eastAsia="zh-CN"/>
        </w:rPr>
      </w:pPr>
    </w:p>
    <w:p w14:paraId="0F383600">
      <w:pPr>
        <w:pStyle w:val="14"/>
        <w:pageBreakBefore w:val="0"/>
        <w:widowControl/>
        <w:pBdr>
          <w:top w:val="none" w:color="auto" w:sz="0" w:space="0"/>
          <w:left w:val="none" w:color="auto" w:sz="0" w:space="0"/>
          <w:bottom w:val="none" w:color="auto" w:sz="0" w:space="0"/>
          <w:right w:val="none" w:color="auto" w:sz="0" w:space="0"/>
        </w:pBdr>
        <w:tabs>
          <w:tab w:val="left" w:pos="8820"/>
        </w:tabs>
        <w:kinsoku/>
        <w:wordWrap/>
        <w:overflowPunct w:val="0"/>
        <w:topLinePunct/>
        <w:autoSpaceDE/>
        <w:autoSpaceDN/>
        <w:bidi w:val="0"/>
        <w:adjustRightInd/>
        <w:snapToGrid/>
        <w:spacing w:line="560" w:lineRule="exact"/>
        <w:ind w:right="5" w:rightChars="0" w:firstLine="0" w:firstLineChars="0"/>
        <w:jc w:val="right"/>
        <w:textAlignment w:val="auto"/>
        <w:rPr>
          <w:rFonts w:hint="eastAsia"/>
          <w:i w:val="0"/>
          <w:color w:val="06071F"/>
          <w:highlight w:val="none"/>
          <w:lang w:val="en-US" w:eastAsia="zh-CN"/>
        </w:rPr>
      </w:pPr>
      <w:r>
        <w:rPr>
          <w:rFonts w:hint="eastAsia"/>
          <w:i w:val="0"/>
          <w:color w:val="06071F"/>
          <w:highlight w:val="none"/>
          <w:lang w:val="en-US" w:eastAsia="zh-CN"/>
        </w:rPr>
        <w:t>梅河口市安全生产委员会办公室</w:t>
      </w:r>
    </w:p>
    <w:p w14:paraId="13FEFE46">
      <w:pPr>
        <w:pStyle w:val="14"/>
        <w:pageBreakBefore w:val="0"/>
        <w:widowControl/>
        <w:pBdr>
          <w:top w:val="none" w:color="auto" w:sz="0" w:space="0"/>
          <w:left w:val="none" w:color="auto" w:sz="0" w:space="0"/>
          <w:bottom w:val="none" w:color="auto" w:sz="0" w:space="0"/>
          <w:right w:val="none" w:color="auto" w:sz="0" w:space="0"/>
        </w:pBdr>
        <w:tabs>
          <w:tab w:val="left" w:pos="8820"/>
        </w:tabs>
        <w:kinsoku/>
        <w:wordWrap w:val="0"/>
        <w:overflowPunct w:val="0"/>
        <w:topLinePunct/>
        <w:autoSpaceDE/>
        <w:autoSpaceDN/>
        <w:bidi w:val="0"/>
        <w:adjustRightInd/>
        <w:snapToGrid/>
        <w:spacing w:line="560" w:lineRule="exact"/>
        <w:ind w:right="5" w:rightChars="0" w:firstLine="0" w:firstLineChars="0"/>
        <w:jc w:val="right"/>
        <w:textAlignment w:val="auto"/>
        <w:rPr>
          <w:rFonts w:hint="eastAsia"/>
        </w:rPr>
      </w:pPr>
      <w:r>
        <w:rPr>
          <w:i w:val="0"/>
          <w:color w:val="06071F"/>
          <w:highlight w:val="none"/>
        </w:rPr>
        <w:t>202</w:t>
      </w:r>
      <w:r>
        <w:rPr>
          <w:rFonts w:hint="eastAsia"/>
          <w:i w:val="0"/>
          <w:color w:val="06071F"/>
          <w:highlight w:val="none"/>
          <w:lang w:val="en-US" w:eastAsia="zh-CN"/>
        </w:rPr>
        <w:t>5</w:t>
      </w:r>
      <w:r>
        <w:rPr>
          <w:i w:val="0"/>
          <w:color w:val="06071F"/>
          <w:highlight w:val="none"/>
        </w:rPr>
        <w:t>年</w:t>
      </w:r>
      <w:r>
        <w:rPr>
          <w:rFonts w:hint="eastAsia"/>
          <w:i w:val="0"/>
          <w:color w:val="06071F"/>
          <w:highlight w:val="none"/>
          <w:lang w:val="en-US" w:eastAsia="zh-CN"/>
        </w:rPr>
        <w:t>7</w:t>
      </w:r>
      <w:r>
        <w:rPr>
          <w:i w:val="0"/>
          <w:color w:val="06071F"/>
          <w:highlight w:val="none"/>
        </w:rPr>
        <w:t>月</w:t>
      </w:r>
      <w:r>
        <w:rPr>
          <w:rFonts w:hint="eastAsia"/>
          <w:i w:val="0"/>
          <w:color w:val="06071F"/>
          <w:highlight w:val="none"/>
          <w:lang w:val="en-US" w:eastAsia="zh-CN"/>
        </w:rPr>
        <w:t>9</w:t>
      </w:r>
      <w:r>
        <w:rPr>
          <w:i w:val="0"/>
          <w:color w:val="06071F"/>
          <w:highlight w:val="none"/>
        </w:rPr>
        <w:t>日</w:t>
      </w:r>
      <w:r>
        <w:rPr>
          <w:rFonts w:hint="eastAsia"/>
          <w:i w:val="0"/>
          <w:color w:val="06071F"/>
          <w:highlight w:val="none"/>
          <w:lang w:val="en-US" w:eastAsia="zh-CN"/>
        </w:rPr>
        <w:t xml:space="preserve">     </w:t>
      </w:r>
    </w:p>
    <w:sectPr>
      <w:headerReference r:id="rId3" w:type="default"/>
      <w:footerReference r:id="rId5" w:type="default"/>
      <w:headerReference r:id="rId4" w:type="even"/>
      <w:footerReference r:id="rId6" w:type="even"/>
      <w:pgSz w:w="11906" w:h="16838"/>
      <w:pgMar w:top="1701" w:right="1134" w:bottom="1134" w:left="1134" w:header="851" w:footer="992" w:gutter="0"/>
      <w:pgNumType w:fmt="decimal"/>
      <w:cols w:space="425" w:num="1"/>
      <w:docGrid w:type="linesAndChars"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358C9">
    <w:pPr>
      <w:tabs>
        <w:tab w:val="center" w:pos="4153"/>
        <w:tab w:val="right" w:pos="8306"/>
      </w:tabs>
      <w:jc w:val="right"/>
      <w:rPr>
        <w:rFonts w:hint="eastAsia" w:ascii="Times New Roman" w:eastAsia="仿宋_GB2312"/>
        <w:sz w:val="32"/>
        <w:lang w:eastAsia="zh-CN"/>
      </w:rPr>
    </w:pPr>
    <w:r>
      <w:rPr>
        <w:rFonts w:hint="eastAsia" w:ascii="Times New Roman" w:eastAsia="仿宋_GB2312"/>
        <w:sz w:val="32"/>
        <w:lang w:eastAsia="zh-CN"/>
      </w:rPr>
      <w:t>—</w:t>
    </w:r>
    <w:r>
      <w:rPr>
        <w:rFonts w:hint="eastAsia" w:ascii="Times New Roman" w:eastAsia="仿宋_GB2312"/>
        <w:sz w:val="32"/>
        <w:lang w:eastAsia="zh-CN"/>
      </w:rPr>
      <w:fldChar w:fldCharType="begin"/>
    </w:r>
    <w:r>
      <w:rPr>
        <w:rFonts w:hint="eastAsia" w:ascii="Times New Roman" w:eastAsia="仿宋_GB2312"/>
        <w:sz w:val="32"/>
        <w:lang w:eastAsia="zh-CN"/>
      </w:rPr>
      <w:instrText xml:space="preserve"> PAGE \* MERGEFORMAT </w:instrText>
    </w:r>
    <w:r>
      <w:rPr>
        <w:rFonts w:hint="eastAsia" w:ascii="Times New Roman" w:eastAsia="仿宋_GB2312"/>
        <w:sz w:val="32"/>
        <w:lang w:eastAsia="zh-CN"/>
      </w:rPr>
      <w:fldChar w:fldCharType="separate"/>
    </w:r>
    <w:r>
      <w:rPr>
        <w:rFonts w:hint="eastAsia" w:ascii="Times New Roman" w:eastAsia="仿宋_GB2312"/>
        <w:sz w:val="32"/>
        <w:lang w:eastAsia="zh-CN"/>
      </w:rPr>
      <w:t>1</w:t>
    </w:r>
    <w:r>
      <w:rPr>
        <w:rFonts w:hint="eastAsia" w:ascii="Times New Roman" w:eastAsia="仿宋_GB2312"/>
        <w:sz w:val="32"/>
        <w:lang w:eastAsia="zh-CN"/>
      </w:rPr>
      <w:fldChar w:fldCharType="end"/>
    </w:r>
    <w:r>
      <w:rPr>
        <w:rFonts w:hint="eastAsia" w:ascii="Times New Roman" w:eastAsia="仿宋_GB2312"/>
        <w:sz w:val="32"/>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F55B8">
    <w:pPr>
      <w:tabs>
        <w:tab w:val="center" w:pos="4153"/>
        <w:tab w:val="right" w:pos="8306"/>
      </w:tabs>
      <w:jc w:val="left"/>
      <w:rPr>
        <w:rFonts w:hint="default" w:ascii="Times New Roman" w:eastAsia="仿宋_GB2312"/>
        <w:sz w:val="32"/>
        <w:lang w:val="en-US" w:eastAsia="zh-CN"/>
      </w:rPr>
    </w:pPr>
    <w:r>
      <w:rPr>
        <w:rFonts w:hint="eastAsia" w:ascii="Times New Roman" w:eastAsia="仿宋_GB2312"/>
        <w:sz w:val="32"/>
        <w:lang w:eastAsia="zh-CN"/>
      </w:rPr>
      <w:t>—</w:t>
    </w:r>
    <w:r>
      <w:rPr>
        <w:rFonts w:hint="eastAsia" w:ascii="Times New Roman" w:eastAsia="仿宋_GB2312"/>
        <w:sz w:val="32"/>
        <w:lang w:eastAsia="zh-CN"/>
      </w:rPr>
      <w:fldChar w:fldCharType="begin"/>
    </w:r>
    <w:r>
      <w:rPr>
        <w:rFonts w:hint="eastAsia" w:ascii="Times New Roman" w:eastAsia="仿宋_GB2312"/>
        <w:sz w:val="32"/>
        <w:lang w:eastAsia="zh-CN"/>
      </w:rPr>
      <w:instrText xml:space="preserve"> PAGE \* MERGEFORMAT </w:instrText>
    </w:r>
    <w:r>
      <w:rPr>
        <w:rFonts w:hint="eastAsia" w:ascii="Times New Roman" w:eastAsia="仿宋_GB2312"/>
        <w:sz w:val="32"/>
        <w:lang w:eastAsia="zh-CN"/>
      </w:rPr>
      <w:fldChar w:fldCharType="separate"/>
    </w:r>
    <w:r>
      <w:rPr>
        <w:rFonts w:hint="eastAsia" w:ascii="Times New Roman" w:eastAsia="仿宋_GB2312"/>
        <w:sz w:val="32"/>
        <w:lang w:eastAsia="zh-CN"/>
      </w:rPr>
      <w:t>1</w:t>
    </w:r>
    <w:r>
      <w:rPr>
        <w:rFonts w:hint="eastAsia" w:ascii="Times New Roman" w:eastAsia="仿宋_GB2312"/>
        <w:sz w:val="32"/>
        <w:lang w:eastAsia="zh-CN"/>
      </w:rPr>
      <w:fldChar w:fldCharType="end"/>
    </w:r>
    <w:r>
      <w:rPr>
        <w:rFonts w:hint="eastAsia" w:ascii="Times New Roman" w:eastAsia="仿宋_GB2312"/>
        <w:sz w:val="32"/>
        <w:lang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ABE38">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0484">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533cc8f-da9a-4ca6-b928-13019e03d46e"/>
  </w:docVars>
  <w:rsids>
    <w:rsidRoot w:val="00000000"/>
    <w:rsid w:val="04856E5F"/>
    <w:rsid w:val="0F4C349E"/>
    <w:rsid w:val="11AD07F7"/>
    <w:rsid w:val="1A0119B8"/>
    <w:rsid w:val="1DEA50CD"/>
    <w:rsid w:val="1E607108"/>
    <w:rsid w:val="293F0EFC"/>
    <w:rsid w:val="2D867693"/>
    <w:rsid w:val="34C6340A"/>
    <w:rsid w:val="396050AE"/>
    <w:rsid w:val="3EF31E78"/>
    <w:rsid w:val="3F5F6BE1"/>
    <w:rsid w:val="46E67C64"/>
    <w:rsid w:val="489436FE"/>
    <w:rsid w:val="49D26B7B"/>
    <w:rsid w:val="4D2B080E"/>
    <w:rsid w:val="4FD85B6E"/>
    <w:rsid w:val="502C424A"/>
    <w:rsid w:val="5151322E"/>
    <w:rsid w:val="5415414D"/>
    <w:rsid w:val="5A102DB3"/>
    <w:rsid w:val="5C502D9A"/>
    <w:rsid w:val="5D741C6E"/>
    <w:rsid w:val="667520A5"/>
    <w:rsid w:val="67212BF3"/>
    <w:rsid w:val="6ED53EAF"/>
    <w:rsid w:val="7090466D"/>
    <w:rsid w:val="7368532C"/>
    <w:rsid w:val="76B46DD4"/>
    <w:rsid w:val="773A78A3"/>
    <w:rsid w:val="78CB344B"/>
    <w:rsid w:val="7EB12484"/>
    <w:rsid w:val="7F8F250D"/>
    <w:rsid w:val="7FCF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jc w:val="both"/>
    </w:pPr>
    <w:rPr>
      <w:rFonts w:ascii="Times New Roman" w:hAnsi="Times New Roman" w:eastAsia="仿宋_GB2312" w:cs="Times New Roman"/>
      <w:kern w:val="2"/>
      <w:sz w:val="32"/>
      <w:szCs w:val="32"/>
      <w:lang w:bidi="ar-SA"/>
    </w:rPr>
  </w:style>
  <w:style w:type="paragraph" w:styleId="5">
    <w:name w:val="heading 1"/>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0"/>
    </w:pPr>
    <w:rPr>
      <w:rFonts w:ascii="Times New Roman" w:hAnsi="Times New Roman" w:eastAsia="黑体" w:cs="Times New Roman"/>
      <w:kern w:val="44"/>
      <w:sz w:val="32"/>
      <w:szCs w:val="32"/>
      <w:lang w:bidi="ar-SA"/>
    </w:rPr>
  </w:style>
  <w:style w:type="paragraph" w:styleId="6">
    <w:name w:val="heading 2"/>
    <w:next w:val="1"/>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1"/>
    </w:pPr>
    <w:rPr>
      <w:rFonts w:ascii="Times New Roman" w:hAnsi="Times New Roman" w:eastAsia="楷体" w:cs="Times New Roman"/>
      <w:kern w:val="2"/>
      <w:sz w:val="32"/>
      <w:szCs w:val="32"/>
      <w:lang w:bidi="ar-SA"/>
    </w:rPr>
  </w:style>
  <w:style w:type="paragraph" w:styleId="7">
    <w:name w:val="heading 3"/>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2"/>
    </w:pPr>
    <w:rPr>
      <w:rFonts w:ascii="Times New Roman" w:hAnsi="Times New Roman" w:eastAsia="仿宋_GB2312" w:cs="Times New Roman"/>
      <w:kern w:val="2"/>
      <w:sz w:val="32"/>
      <w:szCs w:val="32"/>
      <w:lang w:bidi="ar-SA"/>
    </w:rPr>
  </w:style>
  <w:style w:type="paragraph" w:styleId="8">
    <w:name w:val="heading 4"/>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3"/>
    </w:pPr>
    <w:rPr>
      <w:rFonts w:ascii="Times New Roman" w:hAnsi="Times New Roman" w:eastAsia="仿宋_GB2312" w:cs="Times New Roman"/>
      <w:kern w:val="2"/>
      <w:sz w:val="32"/>
      <w:szCs w:val="32"/>
      <w:lang w:bidi="ar-SA"/>
    </w:rPr>
  </w:style>
  <w:style w:type="paragraph" w:styleId="9">
    <w:name w:val="heading 5"/>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4"/>
    </w:pPr>
    <w:rPr>
      <w:rFonts w:ascii="Times New Roman" w:hAnsi="Times New Roman" w:eastAsia="仿宋_GB2312" w:cs="Times New Roman"/>
      <w:kern w:val="2"/>
      <w:sz w:val="32"/>
      <w:szCs w:val="32"/>
      <w:lang w:bidi="ar-SA"/>
    </w:rPr>
  </w:style>
  <w:style w:type="paragraph" w:styleId="10">
    <w:name w:val="heading 6"/>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5"/>
    </w:pPr>
    <w:rPr>
      <w:rFonts w:ascii="Times New Roman" w:hAnsi="Times New Roman" w:eastAsia="仿宋_GB2312" w:cs="Times New Roman"/>
      <w:kern w:val="2"/>
      <w:sz w:val="32"/>
      <w:szCs w:val="32"/>
      <w:lang w:bidi="ar-SA"/>
    </w:rPr>
  </w:style>
  <w:style w:type="paragraph" w:styleId="11">
    <w:name w:val="heading 7"/>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6"/>
    </w:pPr>
    <w:rPr>
      <w:rFonts w:ascii="Times New Roman" w:hAnsi="Times New Roman" w:eastAsia="仿宋_GB2312" w:cs="Times New Roman"/>
      <w:kern w:val="2"/>
      <w:sz w:val="32"/>
      <w:szCs w:val="32"/>
      <w:lang w:bidi="ar-SA"/>
    </w:rPr>
  </w:style>
  <w:style w:type="paragraph" w:styleId="12">
    <w:name w:val="heading 8"/>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7"/>
    </w:pPr>
    <w:rPr>
      <w:rFonts w:ascii="Times New Roman" w:hAnsi="Times New Roman" w:eastAsia="仿宋_GB2312" w:cs="Times New Roman"/>
      <w:kern w:val="2"/>
      <w:sz w:val="32"/>
      <w:szCs w:val="32"/>
      <w:lang w:bidi="ar-SA"/>
    </w:rPr>
  </w:style>
  <w:style w:type="paragraph" w:styleId="13">
    <w:name w:val="heading 9"/>
    <w:next w:val="1"/>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8"/>
    </w:pPr>
    <w:rPr>
      <w:rFonts w:ascii="Times New Roman" w:hAnsi="Times New Roman" w:eastAsia="仿宋_GB2312" w:cs="Times New Roman"/>
      <w:kern w:val="2"/>
      <w:sz w:val="32"/>
      <w:szCs w:val="32"/>
      <w:lang w:bidi="ar-SA"/>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afterLines="0"/>
      <w:ind w:left="420" w:leftChars="200"/>
    </w:pPr>
  </w:style>
  <w:style w:type="paragraph" w:styleId="4">
    <w:name w:val="Normal Indent"/>
    <w:basedOn w:val="1"/>
    <w:unhideWhenUsed/>
    <w:qFormat/>
    <w:uiPriority w:val="0"/>
    <w:pPr>
      <w:ind w:firstLine="420" w:firstLineChars="200"/>
    </w:pPr>
    <w:rPr>
      <w:rFonts w:ascii="Times New Roman" w:hAnsi="Times New Roman" w:eastAsia="宋体" w:cs="Times New Roman"/>
      <w:szCs w:val="24"/>
    </w:rPr>
  </w:style>
  <w:style w:type="paragraph" w:styleId="14">
    <w:name w:val="Body Text"/>
    <w:qFormat/>
    <w:uiPriority w:val="0"/>
    <w:pPr>
      <w:widowControl w:val="0"/>
      <w:overflowPunct w:val="0"/>
      <w:topLinePunct/>
      <w:spacing w:afterLines="0" w:afterAutospacing="0"/>
      <w:ind w:firstLine="632" w:firstLineChars="200"/>
      <w:jc w:val="both"/>
    </w:pPr>
    <w:rPr>
      <w:rFonts w:ascii="Times New Roman" w:hAnsi="Times New Roman" w:eastAsia="仿宋_GB2312" w:cs="Times New Roman"/>
      <w:kern w:val="2"/>
      <w:sz w:val="32"/>
      <w:szCs w:val="32"/>
      <w:lang w:bidi="ar-SA"/>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Subtitle"/>
    <w:qFormat/>
    <w:uiPriority w:val="0"/>
    <w:pPr>
      <w:widowControl w:val="0"/>
      <w:overflowPunct w:val="0"/>
      <w:topLinePunct/>
      <w:spacing w:beforeLines="0" w:beforeAutospacing="0" w:afterLines="0" w:afterAutospacing="0" w:line="240" w:lineRule="auto"/>
      <w:jc w:val="center"/>
      <w:outlineLvl w:val="9"/>
    </w:pPr>
    <w:rPr>
      <w:rFonts w:ascii="Times New Roman" w:hAnsi="Times New Roman" w:eastAsia="方正小标宋_GBK" w:cs="Times New Roman"/>
      <w:kern w:val="28"/>
      <w:sz w:val="32"/>
      <w:szCs w:val="32"/>
      <w:lang w:bidi="ar-SA"/>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qFormat/>
    <w:uiPriority w:val="0"/>
    <w:pPr>
      <w:widowControl w:val="0"/>
      <w:overflowPunct w:val="0"/>
      <w:topLinePunct/>
      <w:spacing w:beforeLines="0" w:beforeAutospacing="0" w:afterLines="0" w:afterAutospacing="0"/>
      <w:jc w:val="center"/>
      <w:outlineLvl w:val="9"/>
    </w:pPr>
    <w:rPr>
      <w:rFonts w:ascii="Times New Roman" w:hAnsi="Times New Roman" w:eastAsia="方正小标宋_GBK" w:cs="Times New Roman"/>
      <w:kern w:val="2"/>
      <w:sz w:val="44"/>
      <w:szCs w:val="32"/>
      <w:lang w:bidi="ar-SA"/>
    </w:rPr>
  </w:style>
  <w:style w:type="character" w:styleId="21">
    <w:name w:val="Strong"/>
    <w:basedOn w:val="20"/>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1333</Words>
  <Characters>1377</Characters>
  <Lines>0</Lines>
  <Paragraphs>0</Paragraphs>
  <TotalTime>0</TotalTime>
  <ScaleCrop>false</ScaleCrop>
  <LinksUpToDate>false</LinksUpToDate>
  <CharactersWithSpaces>1384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2025-04-23T02:04:00Z</dcterms:created>
  <dc:creator>23256</dc:creator>
  <cp:lastModifiedBy>汪涛</cp:lastModifiedBy>
  <cp:lastPrinted>2025-07-09T06:11:00Z</cp:lastPrinted>
  <dcterms:modified xsi:type="dcterms:W3CDTF">2025-07-09T07:24:27Z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eyJoZGlkIjoiYWUyOGNlNmVjNTRiZmU5M2E0NTM4MWQ3YTFiZGVkMmIiLCJ1c2VySWQiOiIzODg4MzQzNTEifQ==</vt:lpwstr>
  </property>
  <property fmtid="{D5CDD505-2E9C-101B-9397-08002B2CF9AE}" pid="4" name="ICV">
    <vt:lpwstr>F5B1408AD61F4442AFE0F00BE2C332CE_13</vt:lpwstr>
  </property>
</Properties>
</file>