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230EF">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3</w:t>
      </w:r>
    </w:p>
    <w:p w14:paraId="0BAAD14E">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_GBK" w:cs="Times New Roman"/>
          <w:snapToGrid w:val="0"/>
          <w:color w:val="auto"/>
          <w:kern w:val="0"/>
          <w:sz w:val="44"/>
          <w:szCs w:val="44"/>
          <w:lang w:val="en-US" w:eastAsia="zh-CN" w:bidi="ar-SA"/>
        </w:rPr>
      </w:pPr>
      <w:bookmarkStart w:id="0" w:name="_GoBack"/>
      <w:r>
        <w:rPr>
          <w:rFonts w:hint="default" w:ascii="Times New Roman" w:hAnsi="Times New Roman" w:eastAsia="方正小标宋_GBK" w:cs="Times New Roman"/>
          <w:snapToGrid w:val="0"/>
          <w:color w:val="auto"/>
          <w:kern w:val="0"/>
          <w:sz w:val="44"/>
          <w:szCs w:val="44"/>
          <w:lang w:val="en-US" w:eastAsia="zh-CN" w:bidi="ar-SA"/>
        </w:rPr>
        <w:t>专项职业能力考核规范编写要求</w:t>
      </w:r>
      <w:bookmarkEnd w:id="0"/>
    </w:p>
    <w:p w14:paraId="66B73C21">
      <w:pPr>
        <w:keepNext w:val="0"/>
        <w:keepLines w:val="0"/>
        <w:pageBreakBefore w:val="0"/>
        <w:widowControl/>
        <w:kinsoku/>
        <w:wordWrap/>
        <w:overflowPunct/>
        <w:topLinePunct w:val="0"/>
        <w:autoSpaceDE w:val="0"/>
        <w:autoSpaceDN w:val="0"/>
        <w:bidi w:val="0"/>
        <w:adjustRightInd w:val="0"/>
        <w:snapToGrid w:val="0"/>
        <w:spacing w:line="560" w:lineRule="exact"/>
        <w:textAlignment w:val="baseline"/>
        <w:rPr>
          <w:rFonts w:hint="default" w:ascii="Times New Roman" w:hAnsi="Times New Roman" w:eastAsia="仿宋_GB2312" w:cs="Times New Roman"/>
          <w:color w:val="auto"/>
          <w:sz w:val="32"/>
          <w:szCs w:val="32"/>
        </w:rPr>
      </w:pPr>
    </w:p>
    <w:p w14:paraId="279AA84E">
      <w:pPr>
        <w:keepNext w:val="0"/>
        <w:keepLines w:val="0"/>
        <w:pageBreakBefore w:val="0"/>
        <w:widowControl/>
        <w:kinsoku/>
        <w:wordWrap/>
        <w:overflowPunct/>
        <w:topLinePunct w:val="0"/>
        <w:autoSpaceDE w:val="0"/>
        <w:autoSpaceDN w:val="0"/>
        <w:bidi w:val="0"/>
        <w:adjustRightInd w:val="0"/>
        <w:snapToGrid w:val="0"/>
        <w:spacing w:line="560" w:lineRule="exact"/>
        <w:textAlignment w:val="baseline"/>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 xml:space="preserve">    </w:t>
      </w:r>
      <w:r>
        <w:rPr>
          <w:rFonts w:hint="default" w:ascii="Times New Roman" w:hAnsi="Times New Roman" w:eastAsia="黑体" w:cs="Times New Roman"/>
          <w:b w:val="0"/>
          <w:bCs w:val="0"/>
          <w:color w:val="auto"/>
          <w:sz w:val="32"/>
          <w:szCs w:val="32"/>
        </w:rPr>
        <w:t>一、专项职业能力的确立原则</w:t>
      </w:r>
    </w:p>
    <w:p w14:paraId="2ED499DD">
      <w:pPr>
        <w:keepNext w:val="0"/>
        <w:keepLines w:val="0"/>
        <w:pageBreakBefore w:val="0"/>
        <w:widowControl/>
        <w:kinsoku/>
        <w:wordWrap/>
        <w:overflowPunct/>
        <w:topLinePunct w:val="0"/>
        <w:autoSpaceDE w:val="0"/>
        <w:autoSpaceDN w:val="0"/>
        <w:bidi w:val="0"/>
        <w:adjustRightInd w:val="0"/>
        <w:snapToGrid w:val="0"/>
        <w:spacing w:line="560" w:lineRule="exact"/>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可就业的最小技能单元原则</w:t>
      </w:r>
    </w:p>
    <w:p w14:paraId="03F6028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每个专项职业能力是一个可就业的最小技能单元。“可就业”是指社会上有一部分相对稳定的人员凭借此项能力就业谋生</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“最小”是指它的适用范围小于“职业”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作为一项就业技能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它不可再拆分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不划分等级。</w:t>
      </w:r>
    </w:p>
    <w:p w14:paraId="6ABA358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技术性原则</w:t>
      </w:r>
    </w:p>
    <w:p w14:paraId="21FC112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技术性是指专项职业能力具有一定的技术含量。掌握这项能力需要经过师傅的指导或相应的实操培训。简单体力劳动不能作为专项职业能力。</w:t>
      </w:r>
    </w:p>
    <w:p w14:paraId="7F02495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与国家职业衔接的原则</w:t>
      </w:r>
    </w:p>
    <w:p w14:paraId="65DF552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凡能与国家职业标准中的模块直接对应、且符合最小技能单元原则的专项职业能力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其考核规范应参照初级工相应模块编写。</w:t>
      </w:r>
    </w:p>
    <w:p w14:paraId="67E4C31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二、名称</w:t>
      </w:r>
    </w:p>
    <w:p w14:paraId="45BDC28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般用“具体产品或服务的名称+动词”来进行表述，如“拉面制作”“社区绿化”等。专项职业能力的名称不能与工种或职业名称雷同。因此，专项职业能力名称后不能有“工”“员”或“师”等表示职业或工种名称的词。</w:t>
      </w:r>
    </w:p>
    <w:p w14:paraId="19348492">
      <w:pPr>
        <w:keepNext w:val="0"/>
        <w:keepLines w:val="0"/>
        <w:pageBreakBefore w:val="0"/>
        <w:widowControl/>
        <w:kinsoku/>
        <w:wordWrap/>
        <w:overflowPunct/>
        <w:topLinePunct w:val="0"/>
        <w:autoSpaceDE w:val="0"/>
        <w:autoSpaceDN/>
        <w:bidi w:val="0"/>
        <w:adjustRightInd w:val="0"/>
        <w:snapToGrid w:val="0"/>
        <w:spacing w:line="560" w:lineRule="exact"/>
        <w:textAlignment w:val="baseline"/>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lang w:eastAsia="zh-CN"/>
        </w:rPr>
        <w:t>三、定义</w:t>
      </w:r>
    </w:p>
    <w:p w14:paraId="28132E67">
      <w:pPr>
        <w:keepNext w:val="0"/>
        <w:keepLines w:val="0"/>
        <w:pageBreakBefore w:val="0"/>
        <w:widowControl/>
        <w:kinsoku/>
        <w:wordWrap/>
        <w:overflowPunct/>
        <w:topLinePunct w:val="0"/>
        <w:autoSpaceDE w:val="0"/>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般应按照“运用……工具设备或材料，在……场所、环境或条件下进行……制作或提供……服务的能力”的格式来定义专项职业能力。如“服装缝纫——利用服装缝纫设备和服装材料，将各款服装裁片缝合成服装的能力”。</w:t>
      </w:r>
    </w:p>
    <w:p w14:paraId="0342B1F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四、适用对象</w:t>
      </w:r>
    </w:p>
    <w:p w14:paraId="6F46B66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运用或准备运用本项能力求职、就业的人员。</w:t>
      </w:r>
    </w:p>
    <w:p w14:paraId="45037F4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五、考核内容</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5"/>
        <w:gridCol w:w="2209"/>
        <w:gridCol w:w="2086"/>
        <w:gridCol w:w="2088"/>
      </w:tblGrid>
      <w:tr w14:paraId="70F35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768" w:type="dxa"/>
            <w:gridSpan w:val="4"/>
            <w:noWrap w:val="0"/>
            <w:vAlign w:val="center"/>
          </w:tcPr>
          <w:p w14:paraId="377A3032">
            <w:pPr>
              <w:keepNext w:val="0"/>
              <w:keepLines w:val="0"/>
              <w:pageBreakBefore w:val="0"/>
              <w:widowControl/>
              <w:kinsoku/>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项目名称</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 xml:space="preserve">               职业领域</w:t>
            </w:r>
            <w:r>
              <w:rPr>
                <w:rFonts w:hint="default" w:ascii="Times New Roman" w:hAnsi="Times New Roman" w:eastAsia="仿宋_GB2312" w:cs="Times New Roman"/>
                <w:color w:val="auto"/>
                <w:sz w:val="28"/>
                <w:szCs w:val="28"/>
                <w:lang w:eastAsia="zh-CN"/>
              </w:rPr>
              <w:t>：</w:t>
            </w:r>
          </w:p>
        </w:tc>
      </w:tr>
      <w:tr w14:paraId="23452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jc w:val="center"/>
        </w:trPr>
        <w:tc>
          <w:tcPr>
            <w:tcW w:w="2385" w:type="dxa"/>
            <w:noWrap w:val="0"/>
            <w:vAlign w:val="center"/>
          </w:tcPr>
          <w:p w14:paraId="16A06F13">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工作任务</w:t>
            </w:r>
          </w:p>
        </w:tc>
        <w:tc>
          <w:tcPr>
            <w:tcW w:w="2209" w:type="dxa"/>
            <w:noWrap w:val="0"/>
            <w:vAlign w:val="center"/>
          </w:tcPr>
          <w:p w14:paraId="15CCDD8C">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操作规范</w:t>
            </w:r>
          </w:p>
        </w:tc>
        <w:tc>
          <w:tcPr>
            <w:tcW w:w="2086" w:type="dxa"/>
            <w:noWrap w:val="0"/>
            <w:vAlign w:val="center"/>
          </w:tcPr>
          <w:p w14:paraId="03FF7837">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相关知识</w:t>
            </w:r>
          </w:p>
        </w:tc>
        <w:tc>
          <w:tcPr>
            <w:tcW w:w="2088" w:type="dxa"/>
            <w:noWrap w:val="0"/>
            <w:vAlign w:val="center"/>
          </w:tcPr>
          <w:p w14:paraId="1CF0C43D">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考核比重</w:t>
            </w:r>
          </w:p>
        </w:tc>
      </w:tr>
      <w:tr w14:paraId="2200D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7" w:hRule="atLeast"/>
          <w:jc w:val="center"/>
        </w:trPr>
        <w:tc>
          <w:tcPr>
            <w:tcW w:w="2385" w:type="dxa"/>
            <w:noWrap w:val="0"/>
            <w:vAlign w:val="center"/>
          </w:tcPr>
          <w:p w14:paraId="21B92F58">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一</w:t>
            </w:r>
            <w:r>
              <w:rPr>
                <w:rFonts w:hint="default" w:ascii="Times New Roman" w:hAnsi="Times New Roman" w:eastAsia="仿宋_GB2312" w:cs="Times New Roman"/>
                <w:color w:val="auto"/>
                <w:sz w:val="28"/>
                <w:szCs w:val="28"/>
                <w:lang w:eastAsia="zh-CN"/>
              </w:rPr>
              <w:t>）</w:t>
            </w:r>
          </w:p>
        </w:tc>
        <w:tc>
          <w:tcPr>
            <w:tcW w:w="2209" w:type="dxa"/>
            <w:noWrap w:val="0"/>
            <w:vAlign w:val="center"/>
          </w:tcPr>
          <w:p w14:paraId="7E286390">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w:t>
            </w:r>
          </w:p>
          <w:p w14:paraId="5B4F978C">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w:t>
            </w:r>
          </w:p>
        </w:tc>
        <w:tc>
          <w:tcPr>
            <w:tcW w:w="2086" w:type="dxa"/>
            <w:noWrap w:val="0"/>
            <w:vAlign w:val="center"/>
          </w:tcPr>
          <w:p w14:paraId="18532B84">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w:t>
            </w:r>
          </w:p>
          <w:p w14:paraId="03B667D0">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w:t>
            </w:r>
          </w:p>
        </w:tc>
        <w:tc>
          <w:tcPr>
            <w:tcW w:w="2088" w:type="dxa"/>
            <w:noWrap w:val="0"/>
            <w:vAlign w:val="center"/>
          </w:tcPr>
          <w:p w14:paraId="480B352E">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w:t>
            </w:r>
          </w:p>
        </w:tc>
      </w:tr>
      <w:tr w14:paraId="1AE73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jc w:val="center"/>
        </w:trPr>
        <w:tc>
          <w:tcPr>
            <w:tcW w:w="2385" w:type="dxa"/>
            <w:noWrap w:val="0"/>
            <w:vAlign w:val="center"/>
          </w:tcPr>
          <w:p w14:paraId="20D6744B">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二</w:t>
            </w:r>
            <w:r>
              <w:rPr>
                <w:rFonts w:hint="default" w:ascii="Times New Roman" w:hAnsi="Times New Roman" w:eastAsia="仿宋_GB2312" w:cs="Times New Roman"/>
                <w:color w:val="auto"/>
                <w:sz w:val="28"/>
                <w:szCs w:val="28"/>
                <w:lang w:eastAsia="zh-CN"/>
              </w:rPr>
              <w:t>）</w:t>
            </w:r>
          </w:p>
        </w:tc>
        <w:tc>
          <w:tcPr>
            <w:tcW w:w="2209" w:type="dxa"/>
            <w:noWrap w:val="0"/>
            <w:vAlign w:val="center"/>
          </w:tcPr>
          <w:p w14:paraId="4FCC2E39">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w:t>
            </w:r>
          </w:p>
          <w:p w14:paraId="6A9C43B3">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w:t>
            </w:r>
          </w:p>
        </w:tc>
        <w:tc>
          <w:tcPr>
            <w:tcW w:w="2086" w:type="dxa"/>
            <w:noWrap w:val="0"/>
            <w:vAlign w:val="center"/>
          </w:tcPr>
          <w:p w14:paraId="780EDB02">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w:t>
            </w:r>
          </w:p>
          <w:p w14:paraId="3D0CE806">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w:t>
            </w:r>
          </w:p>
        </w:tc>
        <w:tc>
          <w:tcPr>
            <w:tcW w:w="2088" w:type="dxa"/>
            <w:noWrap w:val="0"/>
            <w:vAlign w:val="center"/>
          </w:tcPr>
          <w:p w14:paraId="44F4B9A8">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w:t>
            </w:r>
          </w:p>
        </w:tc>
      </w:tr>
      <w:tr w14:paraId="0CF03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2385" w:type="dxa"/>
            <w:noWrap w:val="0"/>
            <w:vAlign w:val="center"/>
          </w:tcPr>
          <w:p w14:paraId="2B66810A">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w:t>
            </w:r>
          </w:p>
        </w:tc>
        <w:tc>
          <w:tcPr>
            <w:tcW w:w="2209" w:type="dxa"/>
            <w:noWrap w:val="0"/>
            <w:vAlign w:val="center"/>
          </w:tcPr>
          <w:p w14:paraId="06C301F1">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p>
        </w:tc>
        <w:tc>
          <w:tcPr>
            <w:tcW w:w="2086" w:type="dxa"/>
            <w:noWrap w:val="0"/>
            <w:vAlign w:val="center"/>
          </w:tcPr>
          <w:p w14:paraId="13B31183">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p>
        </w:tc>
        <w:tc>
          <w:tcPr>
            <w:tcW w:w="2088" w:type="dxa"/>
            <w:noWrap w:val="0"/>
            <w:vAlign w:val="center"/>
          </w:tcPr>
          <w:p w14:paraId="60E4252D">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rPr>
            </w:pPr>
          </w:p>
        </w:tc>
      </w:tr>
    </w:tbl>
    <w:p w14:paraId="15AFCA7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职业领域是指专项职业能力所对应的职业（《中华人民共和国职业分类大典》中的细类）。</w:t>
      </w:r>
    </w:p>
    <w:p w14:paraId="3FBA98B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工作任务是指完成该专项职业能力范围内的全部工作必须经过的主要步骤或程序。需按先后顺序列出。一般情况下，每个专项职业能力下应列出3项以上的工作任务。</w:t>
      </w:r>
    </w:p>
    <w:p w14:paraId="5FBFCB1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操作规范是指每一个操作步骤应该达到的要求、标准或阶段性的具体工作成果。</w:t>
      </w:r>
    </w:p>
    <w:p w14:paraId="59D92F3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相关知识是指完成相应的工作步骤必须掌握的知识，包括工具设备的知识，安全、卫生、环境保护等方面的知识及有关注意事项。按照“干什么，学什么”的原则，列出跟每一个具体操作步骤直接相关的知识点。</w:t>
      </w:r>
    </w:p>
    <w:p w14:paraId="49EB924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考核比重：根据每项具体工作或阶段性成果的重要性及技术复杂程度确定其在考核中应占的比重，用百分比（%）表示。</w:t>
      </w:r>
    </w:p>
    <w:p w14:paraId="547D991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六、考核要求</w:t>
      </w:r>
    </w:p>
    <w:p w14:paraId="590BDF5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（一）申报条件</w:t>
      </w:r>
    </w:p>
    <w:p w14:paraId="4F8FEAF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达到法定劳动年龄，具有相应技能的劳动者均可申报。</w:t>
      </w:r>
    </w:p>
    <w:p w14:paraId="71ECC28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（二）考评人员构成</w:t>
      </w:r>
    </w:p>
    <w:p w14:paraId="306BCBD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根据各个专项职业能力的具体情况确定。</w:t>
      </w:r>
    </w:p>
    <w:p w14:paraId="720D78C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（三）考核方式与考核时间</w:t>
      </w:r>
    </w:p>
    <w:p w14:paraId="69B09E8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根据各个专项职业能力的具体情况确定，一般不单独考核理论知识。但对技术复杂性较强、安全要求较高、影响消费者安全与健康的专项职业能力，考核内容中必须包含相关法律法规、安全操作和卫生知识。</w:t>
      </w:r>
    </w:p>
    <w:p w14:paraId="45BBF6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F4058C"/>
    <w:rsid w:val="40F40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style>
  <w:style w:type="table" w:customStyle="1" w:styleId="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2026-07-29T03:04:00Z</dcterms:created>
  <dc:creator>鸿雁当飞</dc:creator>
  <cp:lastModifiedBy>鸿雁当飞</cp:lastModifiedBy>
  <dcterms:modified xsi:type="dcterms:W3CDTF">2026-07-29T03:05:07Z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9F4CBB49C1E0411BB7907503479C22C8_11</vt:lpwstr>
  </property>
  <property fmtid="{D5CDD505-2E9C-101B-9397-08002B2CF9AE}" pid="4" name="KSOTemplateDocerSaveRecord">
    <vt:lpwstr>eyJoZGlkIjoiMWViMzdjMGNjOTA3MmUxMGQ4MDAwZmJlMzNiMmM5ZGMiLCJ1c2VySWQiOiIzNzIyMTI5NjUifQ==</vt:lpwstr>
  </property>
</Properties>
</file>