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政府信息公开工作年度报告</w:t>
      </w:r>
    </w:p>
    <w:p>
      <w:pPr>
        <w:jc w:val="center"/>
        <w:rPr>
          <w:rFonts w:hint="eastAsia" w:ascii="宋体" w:hAnsi="宋体" w:eastAsia="宋体" w:cs="宋体"/>
          <w:b/>
          <w:bCs/>
          <w:sz w:val="36"/>
          <w:szCs w:val="36"/>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以下简称《条例》）、国务院办公厅政府信息与政务公开办公室《关于政府信息公开工作年度报告有关事项的通知》（国办公开办函﹝2019﹞60号）和市委、市政府安排部署，编制完成梅河口市</w:t>
      </w:r>
      <w:r>
        <w:rPr>
          <w:rFonts w:hint="eastAsia" w:ascii="宋体" w:hAnsi="宋体" w:cs="宋体"/>
          <w:sz w:val="24"/>
          <w:szCs w:val="24"/>
          <w:lang w:val="en-US" w:eastAsia="zh-CN"/>
        </w:rPr>
        <w:t>农业农村局</w:t>
      </w:r>
      <w:r>
        <w:rPr>
          <w:rFonts w:hint="eastAsia" w:ascii="宋体" w:hAnsi="宋体" w:eastAsia="宋体" w:cs="宋体"/>
          <w:sz w:val="24"/>
          <w:szCs w:val="24"/>
        </w:rPr>
        <w:t>2021年政府信息公开工作年度报告。本次年度报告由总体情况、主动公开政府信息情况、收到和处理政府信息公开申请情况、政府信息公开行政复议及行政诉讼情况、存在的主要问题及改进情况、其他需要报告的事项等六个部分组成。所列数据统计时限为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年12月31日。报告电子版可在梅河口市人民政府网(www.mhk.gov.cn)政府信息公开专栏下载，欢迎社会各界进行监督和提出意见。公众如需进一步咨询了解相关信息，请与</w:t>
      </w:r>
      <w:r>
        <w:rPr>
          <w:rFonts w:hint="eastAsia" w:ascii="宋体" w:hAnsi="宋体" w:cs="宋体"/>
          <w:sz w:val="24"/>
          <w:szCs w:val="24"/>
          <w:lang w:val="en-US" w:eastAsia="zh-CN"/>
        </w:rPr>
        <w:t>梅河口市农业农村局</w:t>
      </w:r>
      <w:r>
        <w:rPr>
          <w:rFonts w:hint="eastAsia" w:ascii="宋体" w:hAnsi="宋体" w:eastAsia="宋体" w:cs="宋体"/>
          <w:sz w:val="24"/>
          <w:szCs w:val="24"/>
        </w:rPr>
        <w:t>联系(地址：</w:t>
      </w:r>
      <w:r>
        <w:rPr>
          <w:rFonts w:hint="eastAsia" w:ascii="宋体" w:hAnsi="宋体" w:cs="宋体"/>
          <w:sz w:val="24"/>
          <w:szCs w:val="24"/>
          <w:lang w:val="en-US" w:eastAsia="zh-CN"/>
        </w:rPr>
        <w:t>建国广场88-1号</w:t>
      </w:r>
      <w:r>
        <w:rPr>
          <w:rFonts w:hint="eastAsia" w:ascii="宋体" w:hAnsi="宋体" w:eastAsia="宋体" w:cs="宋体"/>
          <w:sz w:val="24"/>
          <w:szCs w:val="24"/>
        </w:rPr>
        <w:t>；电话：0435—</w:t>
      </w:r>
      <w:r>
        <w:rPr>
          <w:rFonts w:hint="eastAsia" w:ascii="宋体" w:hAnsi="宋体" w:cs="宋体"/>
          <w:sz w:val="24"/>
          <w:szCs w:val="24"/>
          <w:lang w:val="en-US" w:eastAsia="zh-CN"/>
        </w:rPr>
        <w:t>5096211</w:t>
      </w:r>
      <w:r>
        <w:rPr>
          <w:rFonts w:hint="eastAsia" w:ascii="宋体" w:hAnsi="宋体" w:eastAsia="宋体" w:cs="宋体"/>
          <w:sz w:val="24"/>
          <w:szCs w:val="24"/>
        </w:rPr>
        <w:t>；邮编：</w:t>
      </w:r>
      <w:r>
        <w:rPr>
          <w:rFonts w:hint="eastAsia" w:ascii="宋体" w:hAnsi="宋体" w:cs="宋体"/>
          <w:sz w:val="24"/>
          <w:szCs w:val="24"/>
          <w:lang w:val="en-US" w:eastAsia="zh-CN"/>
        </w:rPr>
        <w:t>135000</w:t>
      </w:r>
      <w:r>
        <w:rPr>
          <w:rFonts w:hint="eastAsia" w:ascii="宋体" w:hAnsi="宋体" w:eastAsia="宋体" w:cs="宋体"/>
          <w:sz w:val="24"/>
          <w:szCs w:val="24"/>
        </w:rPr>
        <w:t>)。</w:t>
      </w:r>
    </w:p>
    <w:p>
      <w:pPr>
        <w:ind w:firstLine="482" w:firstLineChars="200"/>
        <w:rPr>
          <w:rFonts w:hint="eastAsia" w:ascii="楷体_GB2312" w:eastAsia="楷体_GB2312"/>
          <w:sz w:val="32"/>
          <w:szCs w:val="32"/>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2022年度，我局认真贯彻执行相关文件精神和上级部门指示，加强政府信息公开工作的组织领导，加大信息公开力度，不断提高政府信息公开服务人民群众，推动我局政府信息公开工作有力有序开展。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lang w:val="en-US" w:eastAsia="zh-CN"/>
        </w:rPr>
      </w:pPr>
      <w:r>
        <w:rPr>
          <w:rFonts w:hint="eastAsia"/>
          <w:lang w:val="en-US" w:eastAsia="zh-CN"/>
        </w:rPr>
        <w:t>我局设置政务公开领导小组，领导小组下设办公室，专门负责政务公开工作，定期向主要负责人汇报政务公开情况。制定了《梅河口市农业农村局政务公开工作办法》，进一步规范了依申请公开受理和回复、非公文类政府信息公开审查和审核、已公开政府信息撤除和更改等多个方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lang w:val="en-US" w:eastAsia="zh-CN"/>
        </w:rPr>
      </w:pPr>
      <w:r>
        <w:rPr>
          <w:rFonts w:hint="eastAsia"/>
          <w:lang w:val="en-US" w:eastAsia="zh-CN"/>
        </w:rPr>
        <w:t>2022年共主动公开政府信息67条，包括</w:t>
      </w:r>
      <w:r>
        <w:rPr>
          <w:rFonts w:hint="eastAsia"/>
          <w:highlight w:val="none"/>
          <w:lang w:val="en-US" w:eastAsia="zh-CN"/>
        </w:rPr>
        <w:t>履职依据、文件公告类信息、行政处罚、预算决算、机构职能、权责清单、财政信息</w:t>
      </w:r>
      <w:r>
        <w:rPr>
          <w:rFonts w:hint="eastAsia"/>
          <w:lang w:val="en-US" w:eastAsia="zh-CN"/>
        </w:rPr>
        <w:t>等；已按申请人指定方式进行答复；我局开设梅河口市农业农村局网站和梅河口市农业农村局微信公众号，与梅河口市人民政府农业农村局政务公开专栏多渠道开展政务公开工作，全面增强我局政府信息公开工作群众的知晓率和参与率。</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3"/>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245"/>
        <w:gridCol w:w="220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00" w:type="dxa"/>
            <w:gridSpan w:val="4"/>
            <w:shd w:val="clear" w:color="auto" w:fill="99CCFF"/>
            <w:noWrap w:val="0"/>
            <w:vAlign w:val="center"/>
          </w:tcPr>
          <w:p>
            <w:pPr>
              <w:jc w:val="center"/>
              <w:rPr>
                <w:sz w:val="24"/>
                <w:szCs w:val="24"/>
              </w:rPr>
            </w:pPr>
            <w:r>
              <w:rPr>
                <w:sz w:val="24"/>
                <w:szCs w:val="24"/>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信息内容</w:t>
            </w:r>
          </w:p>
        </w:tc>
        <w:tc>
          <w:tcPr>
            <w:tcW w:w="2245" w:type="dxa"/>
            <w:noWrap w:val="0"/>
            <w:vAlign w:val="center"/>
          </w:tcPr>
          <w:p>
            <w:pPr>
              <w:jc w:val="center"/>
              <w:rPr>
                <w:sz w:val="24"/>
                <w:szCs w:val="24"/>
              </w:rPr>
            </w:pPr>
            <w:r>
              <w:rPr>
                <w:sz w:val="24"/>
                <w:szCs w:val="24"/>
              </w:rPr>
              <w:t>本年制发件数</w:t>
            </w:r>
          </w:p>
        </w:tc>
        <w:tc>
          <w:tcPr>
            <w:tcW w:w="2205" w:type="dxa"/>
            <w:noWrap w:val="0"/>
            <w:vAlign w:val="center"/>
          </w:tcPr>
          <w:p>
            <w:pPr>
              <w:jc w:val="center"/>
              <w:rPr>
                <w:sz w:val="24"/>
                <w:szCs w:val="24"/>
              </w:rPr>
            </w:pPr>
            <w:r>
              <w:rPr>
                <w:sz w:val="24"/>
                <w:szCs w:val="24"/>
              </w:rPr>
              <w:t>本年废止件数</w:t>
            </w:r>
          </w:p>
        </w:tc>
        <w:tc>
          <w:tcPr>
            <w:tcW w:w="2520" w:type="dxa"/>
            <w:noWrap w:val="0"/>
            <w:vAlign w:val="center"/>
          </w:tcPr>
          <w:p>
            <w:pPr>
              <w:jc w:val="center"/>
              <w:rPr>
                <w:sz w:val="24"/>
                <w:szCs w:val="24"/>
              </w:rPr>
            </w:pPr>
            <w:r>
              <w:rPr>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规章</w:t>
            </w:r>
          </w:p>
        </w:tc>
        <w:tc>
          <w:tcPr>
            <w:tcW w:w="2245" w:type="dxa"/>
            <w:noWrap w:val="0"/>
            <w:vAlign w:val="top"/>
          </w:tcPr>
          <w:p>
            <w:pPr>
              <w:jc w:val="center"/>
              <w:rPr>
                <w:rFonts w:hint="default" w:eastAsiaTheme="minorEastAsia"/>
                <w:sz w:val="24"/>
                <w:szCs w:val="24"/>
                <w:lang w:val="en-US" w:eastAsia="zh-CN"/>
              </w:rPr>
            </w:pPr>
            <w:r>
              <w:rPr>
                <w:rFonts w:hint="eastAsia"/>
                <w:sz w:val="24"/>
                <w:szCs w:val="24"/>
                <w:lang w:val="en-US" w:eastAsia="zh-CN"/>
              </w:rPr>
              <w:t>0</w:t>
            </w:r>
          </w:p>
        </w:tc>
        <w:tc>
          <w:tcPr>
            <w:tcW w:w="2205" w:type="dxa"/>
            <w:noWrap w:val="0"/>
            <w:vAlign w:val="top"/>
          </w:tcPr>
          <w:p>
            <w:pPr>
              <w:jc w:val="center"/>
              <w:rPr>
                <w:rFonts w:hint="eastAsia" w:eastAsiaTheme="minorEastAsia"/>
                <w:sz w:val="24"/>
                <w:szCs w:val="24"/>
                <w:lang w:val="en-US" w:eastAsia="zh-CN"/>
              </w:rPr>
            </w:pPr>
            <w:r>
              <w:rPr>
                <w:rFonts w:hint="eastAsia"/>
                <w:sz w:val="24"/>
                <w:szCs w:val="24"/>
                <w:lang w:val="en-US" w:eastAsia="zh-CN"/>
              </w:rPr>
              <w:t>0</w:t>
            </w:r>
          </w:p>
        </w:tc>
        <w:tc>
          <w:tcPr>
            <w:tcW w:w="2520" w:type="dxa"/>
            <w:noWrap w:val="0"/>
            <w:vAlign w:val="top"/>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行政规范性文件</w:t>
            </w:r>
          </w:p>
        </w:tc>
        <w:tc>
          <w:tcPr>
            <w:tcW w:w="2245" w:type="dxa"/>
            <w:noWrap w:val="0"/>
            <w:vAlign w:val="top"/>
          </w:tcPr>
          <w:p>
            <w:pPr>
              <w:jc w:val="center"/>
              <w:rPr>
                <w:rFonts w:hint="eastAsia" w:eastAsiaTheme="minorEastAsia"/>
                <w:sz w:val="24"/>
                <w:szCs w:val="24"/>
                <w:lang w:val="en-US" w:eastAsia="zh-CN"/>
              </w:rPr>
            </w:pPr>
            <w:r>
              <w:rPr>
                <w:rFonts w:hint="eastAsia"/>
                <w:sz w:val="24"/>
                <w:szCs w:val="24"/>
                <w:lang w:val="en-US" w:eastAsia="zh-CN"/>
              </w:rPr>
              <w:t>0</w:t>
            </w:r>
          </w:p>
        </w:tc>
        <w:tc>
          <w:tcPr>
            <w:tcW w:w="2205" w:type="dxa"/>
            <w:noWrap w:val="0"/>
            <w:vAlign w:val="top"/>
          </w:tcPr>
          <w:p>
            <w:pPr>
              <w:jc w:val="center"/>
              <w:rPr>
                <w:rFonts w:hint="eastAsia" w:eastAsiaTheme="minorEastAsia"/>
                <w:sz w:val="24"/>
                <w:szCs w:val="24"/>
                <w:lang w:val="en-US" w:eastAsia="zh-CN"/>
              </w:rPr>
            </w:pPr>
            <w:r>
              <w:rPr>
                <w:rFonts w:hint="eastAsia"/>
                <w:sz w:val="24"/>
                <w:szCs w:val="24"/>
                <w:lang w:val="en-US" w:eastAsia="zh-CN"/>
              </w:rPr>
              <w:t>0</w:t>
            </w:r>
          </w:p>
        </w:tc>
        <w:tc>
          <w:tcPr>
            <w:tcW w:w="2520" w:type="dxa"/>
            <w:noWrap w:val="0"/>
            <w:vAlign w:val="top"/>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30" w:type="dxa"/>
            <w:noWrap w:val="0"/>
            <w:vAlign w:val="center"/>
          </w:tcPr>
          <w:p>
            <w:pP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行政许可</w:t>
            </w:r>
          </w:p>
        </w:tc>
        <w:tc>
          <w:tcPr>
            <w:tcW w:w="6970" w:type="dxa"/>
            <w:gridSpan w:val="3"/>
            <w:noWrap w:val="0"/>
            <w:vAlign w:val="top"/>
          </w:tcPr>
          <w:p>
            <w:pPr>
              <w:jc w:val="center"/>
              <w:rPr>
                <w:rFonts w:hint="default"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行政处罚</w:t>
            </w:r>
          </w:p>
        </w:tc>
        <w:tc>
          <w:tcPr>
            <w:tcW w:w="6970" w:type="dxa"/>
            <w:gridSpan w:val="3"/>
            <w:noWrap w:val="0"/>
            <w:vAlign w:val="top"/>
          </w:tcPr>
          <w:p>
            <w:pPr>
              <w:jc w:val="center"/>
              <w:rPr>
                <w:rFonts w:hint="default" w:eastAsiaTheme="minorEastAsia"/>
                <w:sz w:val="24"/>
                <w:szCs w:val="24"/>
                <w:lang w:val="en-US" w:eastAsia="zh-CN"/>
              </w:rPr>
            </w:pPr>
            <w:r>
              <w:rPr>
                <w:rFonts w:hint="eastAsia"/>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行政强制</w:t>
            </w:r>
          </w:p>
        </w:tc>
        <w:tc>
          <w:tcPr>
            <w:tcW w:w="6970" w:type="dxa"/>
            <w:gridSpan w:val="3"/>
            <w:noWrap w:val="0"/>
            <w:vAlign w:val="top"/>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30" w:type="dxa"/>
            <w:noWrap w:val="0"/>
            <w:vAlign w:val="center"/>
          </w:tcPr>
          <w:p>
            <w:pP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30" w:type="dxa"/>
            <w:noWrap w:val="0"/>
            <w:vAlign w:val="center"/>
          </w:tcPr>
          <w:p>
            <w:pPr>
              <w:rPr>
                <w:sz w:val="24"/>
                <w:szCs w:val="24"/>
              </w:rPr>
            </w:pPr>
            <w:r>
              <w:rPr>
                <w:sz w:val="24"/>
                <w:szCs w:val="24"/>
              </w:rPr>
              <w:t>行政事业性收费</w:t>
            </w:r>
          </w:p>
        </w:tc>
        <w:tc>
          <w:tcPr>
            <w:tcW w:w="6970" w:type="dxa"/>
            <w:gridSpan w:val="3"/>
            <w:noWrap w:val="0"/>
            <w:vAlign w:val="top"/>
          </w:tcPr>
          <w:p>
            <w:pPr>
              <w:jc w:val="center"/>
              <w:rPr>
                <w:rFonts w:hint="eastAsia" w:eastAsiaTheme="minorEastAsia"/>
                <w:sz w:val="24"/>
                <w:szCs w:val="24"/>
                <w:lang w:val="en-US" w:eastAsia="zh-CN"/>
              </w:rPr>
            </w:pPr>
            <w:r>
              <w:rPr>
                <w:rFonts w:hint="eastAsia"/>
                <w:sz w:val="24"/>
                <w:szCs w:val="24"/>
                <w:lang w:val="en-US" w:eastAsia="zh-CN"/>
              </w:rPr>
              <w:t>0</w:t>
            </w:r>
          </w:p>
        </w:tc>
      </w:tr>
    </w:tbl>
    <w:p>
      <w:pPr>
        <w:rPr>
          <w:rFonts w:hint="eastAsia" w:ascii="宋体" w:hAnsi="宋体" w:eastAsia="宋体" w:cs="宋体"/>
          <w:b/>
          <w:bCs/>
          <w:sz w:val="24"/>
          <w:szCs w:val="24"/>
        </w:rPr>
      </w:pPr>
      <w:r>
        <w:rPr>
          <w:rFonts w:hint="eastAsia" w:ascii="宋体" w:hAnsi="宋体" w:eastAsia="宋体" w:cs="宋体"/>
          <w:b/>
          <w:bCs/>
          <w:sz w:val="24"/>
          <w:szCs w:val="24"/>
        </w:rPr>
        <w:t>三、收到和处理政府信息公开申请情况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53"/>
        <w:gridCol w:w="2757"/>
        <w:gridCol w:w="552"/>
        <w:gridCol w:w="630"/>
        <w:gridCol w:w="630"/>
        <w:gridCol w:w="628"/>
        <w:gridCol w:w="839"/>
        <w:gridCol w:w="7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243" w:type="dxa"/>
            <w:gridSpan w:val="3"/>
            <w:vMerge w:val="restart"/>
            <w:tcBorders>
              <w:top w:val="single" w:color="auto" w:sz="4" w:space="0"/>
              <w:left w:val="single" w:color="auto" w:sz="4" w:space="0"/>
              <w:bottom w:val="nil"/>
              <w:right w:val="single" w:color="auto" w:sz="4" w:space="0"/>
            </w:tcBorders>
            <w:noWrap w:val="0"/>
            <w:vAlign w:val="center"/>
          </w:tcPr>
          <w:p>
            <w:pPr>
              <w:rPr>
                <w:rFonts w:hint="eastAsia" w:ascii="楷体_GB2312" w:eastAsia="楷体_GB2312"/>
              </w:rPr>
            </w:pPr>
            <w:r>
              <w:rPr>
                <w:rFonts w:hint="eastAsia" w:ascii="楷体_GB2312" w:eastAsia="楷体_GB2312"/>
              </w:rPr>
              <w:t>（本列数据的勾稽关系为：第一项加第二项之和，等于第三项加第四项之和）</w:t>
            </w:r>
          </w:p>
        </w:tc>
        <w:tc>
          <w:tcPr>
            <w:tcW w:w="4855" w:type="dxa"/>
            <w:gridSpan w:val="7"/>
            <w:tcBorders>
              <w:top w:val="single" w:color="auto" w:sz="4" w:space="0"/>
              <w:left w:val="single" w:color="auto" w:sz="4" w:space="0"/>
              <w:bottom w:val="single" w:color="auto" w:sz="4" w:space="0"/>
              <w:right w:val="single" w:color="auto" w:sz="4" w:space="0"/>
            </w:tcBorders>
            <w:noWrap w:val="0"/>
            <w:vAlign w:val="top"/>
          </w:tcPr>
          <w:p>
            <w:pPr>
              <w:ind w:firstLine="2118" w:firstLineChars="1177"/>
              <w:rPr>
                <w:sz w:val="18"/>
                <w:szCs w:val="18"/>
              </w:rPr>
            </w:pPr>
            <w:r>
              <w:rPr>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243" w:type="dxa"/>
            <w:gridSpan w:val="3"/>
            <w:vMerge w:val="continue"/>
            <w:tcBorders>
              <w:left w:val="single" w:color="auto" w:sz="4" w:space="0"/>
              <w:bottom w:val="nil"/>
              <w:right w:val="single" w:color="auto" w:sz="4" w:space="0"/>
            </w:tcBorders>
            <w:noWrap w:val="0"/>
            <w:vAlign w:val="top"/>
          </w:tcPr>
          <w:p/>
        </w:tc>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自然人</w:t>
            </w:r>
          </w:p>
        </w:tc>
        <w:tc>
          <w:tcPr>
            <w:tcW w:w="3465" w:type="dxa"/>
            <w:gridSpan w:val="5"/>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法人或其他组织</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gridSpan w:val="3"/>
            <w:vMerge w:val="continue"/>
            <w:tcBorders>
              <w:left w:val="single" w:color="auto" w:sz="4" w:space="0"/>
              <w:bottom w:val="single" w:color="auto" w:sz="4" w:space="0"/>
              <w:right w:val="single" w:color="auto" w:sz="4" w:space="0"/>
            </w:tcBorders>
            <w:noWrap w:val="0"/>
            <w:vAlign w:val="top"/>
          </w:tcPr>
          <w:p/>
        </w:tc>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商业企业</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科研机构</w:t>
            </w:r>
          </w:p>
        </w:tc>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社会公益组织</w:t>
            </w:r>
          </w:p>
        </w:tc>
        <w:tc>
          <w:tcPr>
            <w:tcW w:w="83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法律服务机构</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其他</w:t>
            </w: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43"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一、本年新收政府信息公开申请数量</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243"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二、上年结转政府信息公开申请数量</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三、本年度办理结果</w:t>
            </w: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（一）予以公开</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（二）部分公开</w:t>
            </w:r>
            <w:r>
              <w:rPr>
                <w:rFonts w:hint="eastAsia" w:ascii="仿宋_GB2312" w:eastAsia="仿宋_GB2312"/>
                <w:sz w:val="18"/>
                <w:szCs w:val="18"/>
              </w:rPr>
              <w:t>（区分处理的，只计这一情况，不计其他情形）</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（三）不予公开</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1.属于国家秘密</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2.其他法律行政法规禁止公开</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3.危及</w:t>
            </w:r>
            <w:r>
              <w:rPr>
                <w:rFonts w:hint="eastAsia"/>
                <w:sz w:val="18"/>
                <w:szCs w:val="18"/>
              </w:rPr>
              <w:t>“</w:t>
            </w:r>
            <w:r>
              <w:rPr>
                <w:sz w:val="18"/>
                <w:szCs w:val="18"/>
              </w:rPr>
              <w:t>三安全一稳定</w:t>
            </w:r>
            <w:r>
              <w:rPr>
                <w:rFonts w:hint="eastAsia"/>
                <w:sz w:val="18"/>
                <w:szCs w:val="18"/>
              </w:rPr>
              <w:t>”</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4.保护第三方合法权益</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5.属于三类内容事务信息</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6.属于四类过程性信息</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7.属于行政执法案卷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8.属于行政查询事项</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（四）无法提供</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1.本机关不掌握相关政府信息</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nil"/>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2.没有现成信息需要另行制作</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3.补正后申请内容仍不明确</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（五）不予处理</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1.信访举报投诉类申请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2.重复申请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3.要求提供公开出版物</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4.无正当理由大量反复申请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5.要求行政机关确认或重新出具已获取信息</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（六）其他处理</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1.申请人无正当理由逾期不补正、行政机关不再处理其政府信息公开申请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nil"/>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2.申请人逾期未按收费通知要求缴纳费用、行政机关不再处理其政府信息公开申请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3.其他</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（七）总计</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43"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四、结转下年度继续办理</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lang w:val="en-US" w:eastAsia="zh-CN"/>
              </w:rPr>
            </w:pPr>
            <w:r>
              <w:rPr>
                <w:rFonts w:hint="eastAsia"/>
                <w:lang w:val="en-US" w:eastAsia="zh-CN"/>
              </w:rPr>
              <w:t>0</w:t>
            </w:r>
          </w:p>
        </w:tc>
      </w:tr>
    </w:tbl>
    <w:p/>
    <w:p>
      <w:pPr>
        <w:rPr>
          <w:rFonts w:hint="eastAsia" w:ascii="宋体" w:hAnsi="宋体" w:eastAsia="宋体" w:cs="宋体"/>
          <w:b/>
          <w:bCs/>
          <w:sz w:val="24"/>
          <w:szCs w:val="24"/>
        </w:rPr>
      </w:pPr>
      <w:r>
        <w:rPr>
          <w:rFonts w:hint="eastAsia" w:ascii="宋体" w:hAnsi="宋体" w:eastAsia="宋体" w:cs="宋体"/>
          <w:b/>
          <w:bCs/>
          <w:sz w:val="24"/>
          <w:szCs w:val="24"/>
        </w:rPr>
        <w:t>四、政府信息公开行政复议、行政诉讼情况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627"/>
        <w:gridCol w:w="627"/>
        <w:gridCol w:w="627"/>
        <w:gridCol w:w="473"/>
        <w:gridCol w:w="627"/>
        <w:gridCol w:w="627"/>
        <w:gridCol w:w="627"/>
        <w:gridCol w:w="627"/>
        <w:gridCol w:w="473"/>
        <w:gridCol w:w="627"/>
        <w:gridCol w:w="627"/>
        <w:gridCol w:w="628"/>
        <w:gridCol w:w="628"/>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gridSpan w:val="5"/>
            <w:tcBorders>
              <w:right w:val="single" w:color="auto" w:sz="4" w:space="0"/>
            </w:tcBorders>
            <w:noWrap w:val="0"/>
            <w:vAlign w:val="top"/>
          </w:tcPr>
          <w:p>
            <w:pPr>
              <w:jc w:val="center"/>
              <w:rPr>
                <w:sz w:val="18"/>
                <w:szCs w:val="18"/>
              </w:rPr>
            </w:pPr>
            <w:r>
              <w:rPr>
                <w:sz w:val="18"/>
                <w:szCs w:val="18"/>
              </w:rPr>
              <w:t>行政复议</w:t>
            </w:r>
          </w:p>
        </w:tc>
        <w:tc>
          <w:tcPr>
            <w:tcW w:w="5965" w:type="dxa"/>
            <w:gridSpan w:val="10"/>
            <w:tcBorders>
              <w:left w:val="single" w:color="auto" w:sz="4" w:space="0"/>
            </w:tcBorders>
            <w:noWrap w:val="0"/>
            <w:vAlign w:val="top"/>
          </w:tcPr>
          <w:p>
            <w:pPr>
              <w:jc w:val="center"/>
              <w:rPr>
                <w:sz w:val="18"/>
                <w:szCs w:val="18"/>
              </w:rPr>
            </w:pPr>
            <w:r>
              <w:rPr>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restart"/>
            <w:tcBorders>
              <w:bottom w:val="nil"/>
            </w:tcBorders>
            <w:noWrap w:val="0"/>
            <w:vAlign w:val="center"/>
          </w:tcPr>
          <w:p>
            <w:pPr>
              <w:jc w:val="center"/>
              <w:rPr>
                <w:sz w:val="18"/>
                <w:szCs w:val="18"/>
              </w:rPr>
            </w:pPr>
            <w:r>
              <w:rPr>
                <w:sz w:val="18"/>
                <w:szCs w:val="18"/>
              </w:rPr>
              <w:t>结果维持</w:t>
            </w:r>
          </w:p>
        </w:tc>
        <w:tc>
          <w:tcPr>
            <w:tcW w:w="627" w:type="dxa"/>
            <w:vMerge w:val="restart"/>
            <w:tcBorders>
              <w:bottom w:val="nil"/>
            </w:tcBorders>
            <w:noWrap w:val="0"/>
            <w:vAlign w:val="center"/>
          </w:tcPr>
          <w:p>
            <w:pPr>
              <w:jc w:val="center"/>
              <w:rPr>
                <w:sz w:val="18"/>
                <w:szCs w:val="18"/>
              </w:rPr>
            </w:pPr>
            <w:r>
              <w:rPr>
                <w:sz w:val="18"/>
                <w:szCs w:val="18"/>
              </w:rPr>
              <w:t>结果纠正</w:t>
            </w:r>
          </w:p>
        </w:tc>
        <w:tc>
          <w:tcPr>
            <w:tcW w:w="627" w:type="dxa"/>
            <w:vMerge w:val="restart"/>
            <w:tcBorders>
              <w:bottom w:val="nil"/>
            </w:tcBorders>
            <w:noWrap w:val="0"/>
            <w:vAlign w:val="center"/>
          </w:tcPr>
          <w:p>
            <w:pPr>
              <w:jc w:val="center"/>
              <w:rPr>
                <w:sz w:val="18"/>
                <w:szCs w:val="18"/>
              </w:rPr>
            </w:pPr>
            <w:r>
              <w:rPr>
                <w:sz w:val="18"/>
                <w:szCs w:val="18"/>
              </w:rPr>
              <w:t>其他结果</w:t>
            </w:r>
          </w:p>
        </w:tc>
        <w:tc>
          <w:tcPr>
            <w:tcW w:w="627" w:type="dxa"/>
            <w:vMerge w:val="restart"/>
            <w:tcBorders>
              <w:bottom w:val="nil"/>
            </w:tcBorders>
            <w:noWrap w:val="0"/>
            <w:vAlign w:val="center"/>
          </w:tcPr>
          <w:p>
            <w:pPr>
              <w:jc w:val="center"/>
              <w:rPr>
                <w:sz w:val="18"/>
                <w:szCs w:val="18"/>
              </w:rPr>
            </w:pPr>
            <w:r>
              <w:rPr>
                <w:sz w:val="18"/>
                <w:szCs w:val="18"/>
              </w:rPr>
              <w:t>尚未审结</w:t>
            </w:r>
          </w:p>
        </w:tc>
        <w:tc>
          <w:tcPr>
            <w:tcW w:w="473" w:type="dxa"/>
            <w:vMerge w:val="restart"/>
            <w:tcBorders>
              <w:bottom w:val="nil"/>
              <w:right w:val="single" w:color="auto" w:sz="4" w:space="0"/>
            </w:tcBorders>
            <w:noWrap w:val="0"/>
            <w:vAlign w:val="center"/>
          </w:tcPr>
          <w:p>
            <w:pPr>
              <w:jc w:val="center"/>
              <w:rPr>
                <w:sz w:val="18"/>
                <w:szCs w:val="18"/>
              </w:rPr>
            </w:pPr>
            <w:r>
              <w:rPr>
                <w:sz w:val="18"/>
                <w:szCs w:val="18"/>
              </w:rPr>
              <w:t>总计</w:t>
            </w:r>
          </w:p>
        </w:tc>
        <w:tc>
          <w:tcPr>
            <w:tcW w:w="2981" w:type="dxa"/>
            <w:gridSpan w:val="5"/>
            <w:tcBorders>
              <w:left w:val="single" w:color="auto" w:sz="4" w:space="0"/>
            </w:tcBorders>
            <w:noWrap w:val="0"/>
            <w:vAlign w:val="top"/>
          </w:tcPr>
          <w:p>
            <w:pPr>
              <w:jc w:val="center"/>
              <w:rPr>
                <w:sz w:val="18"/>
                <w:szCs w:val="18"/>
              </w:rPr>
            </w:pPr>
            <w:r>
              <w:rPr>
                <w:sz w:val="18"/>
                <w:szCs w:val="18"/>
              </w:rPr>
              <w:t>未经复议直接起诉</w:t>
            </w:r>
          </w:p>
        </w:tc>
        <w:tc>
          <w:tcPr>
            <w:tcW w:w="2984" w:type="dxa"/>
            <w:gridSpan w:val="5"/>
            <w:noWrap w:val="0"/>
            <w:vAlign w:val="top"/>
          </w:tcPr>
          <w:p>
            <w:pPr>
              <w:jc w:val="center"/>
              <w:rPr>
                <w:sz w:val="18"/>
                <w:szCs w:val="18"/>
              </w:rPr>
            </w:pPr>
            <w:r>
              <w:rPr>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noWrap w:val="0"/>
            <w:vAlign w:val="top"/>
          </w:tcPr>
          <w:p/>
        </w:tc>
        <w:tc>
          <w:tcPr>
            <w:tcW w:w="627" w:type="dxa"/>
            <w:vMerge w:val="continue"/>
            <w:noWrap w:val="0"/>
            <w:vAlign w:val="top"/>
          </w:tcPr>
          <w:p/>
        </w:tc>
        <w:tc>
          <w:tcPr>
            <w:tcW w:w="627" w:type="dxa"/>
            <w:vMerge w:val="continue"/>
            <w:noWrap w:val="0"/>
            <w:vAlign w:val="top"/>
          </w:tcPr>
          <w:p/>
        </w:tc>
        <w:tc>
          <w:tcPr>
            <w:tcW w:w="627" w:type="dxa"/>
            <w:vMerge w:val="continue"/>
            <w:noWrap w:val="0"/>
            <w:vAlign w:val="top"/>
          </w:tcPr>
          <w:p/>
        </w:tc>
        <w:tc>
          <w:tcPr>
            <w:tcW w:w="473" w:type="dxa"/>
            <w:vMerge w:val="continue"/>
            <w:tcBorders>
              <w:right w:val="single" w:color="auto" w:sz="4" w:space="0"/>
            </w:tcBorders>
            <w:noWrap w:val="0"/>
            <w:vAlign w:val="top"/>
          </w:tcPr>
          <w:p/>
        </w:tc>
        <w:tc>
          <w:tcPr>
            <w:tcW w:w="627" w:type="dxa"/>
            <w:noWrap w:val="0"/>
            <w:vAlign w:val="top"/>
          </w:tcPr>
          <w:p>
            <w:pPr>
              <w:rPr>
                <w:sz w:val="18"/>
                <w:szCs w:val="18"/>
              </w:rPr>
            </w:pPr>
            <w:r>
              <w:rPr>
                <w:sz w:val="18"/>
                <w:szCs w:val="18"/>
              </w:rPr>
              <w:t>结果维持</w:t>
            </w:r>
          </w:p>
        </w:tc>
        <w:tc>
          <w:tcPr>
            <w:tcW w:w="627" w:type="dxa"/>
            <w:noWrap w:val="0"/>
            <w:vAlign w:val="top"/>
          </w:tcPr>
          <w:p>
            <w:pPr>
              <w:rPr>
                <w:sz w:val="18"/>
                <w:szCs w:val="18"/>
              </w:rPr>
            </w:pPr>
            <w:r>
              <w:rPr>
                <w:sz w:val="18"/>
                <w:szCs w:val="18"/>
              </w:rPr>
              <w:t>结果纠正</w:t>
            </w:r>
          </w:p>
        </w:tc>
        <w:tc>
          <w:tcPr>
            <w:tcW w:w="627" w:type="dxa"/>
            <w:noWrap w:val="0"/>
            <w:vAlign w:val="top"/>
          </w:tcPr>
          <w:p>
            <w:pPr>
              <w:rPr>
                <w:sz w:val="18"/>
                <w:szCs w:val="18"/>
              </w:rPr>
            </w:pPr>
            <w:r>
              <w:rPr>
                <w:sz w:val="18"/>
                <w:szCs w:val="18"/>
              </w:rPr>
              <w:t>其他结果</w:t>
            </w:r>
          </w:p>
        </w:tc>
        <w:tc>
          <w:tcPr>
            <w:tcW w:w="627" w:type="dxa"/>
            <w:noWrap w:val="0"/>
            <w:vAlign w:val="top"/>
          </w:tcPr>
          <w:p>
            <w:pPr>
              <w:rPr>
                <w:sz w:val="18"/>
                <w:szCs w:val="18"/>
              </w:rPr>
            </w:pPr>
            <w:r>
              <w:rPr>
                <w:sz w:val="18"/>
                <w:szCs w:val="18"/>
              </w:rPr>
              <w:t>尚未审结</w:t>
            </w:r>
          </w:p>
        </w:tc>
        <w:tc>
          <w:tcPr>
            <w:tcW w:w="473" w:type="dxa"/>
            <w:noWrap w:val="0"/>
            <w:vAlign w:val="top"/>
          </w:tcPr>
          <w:p>
            <w:pPr>
              <w:rPr>
                <w:sz w:val="18"/>
                <w:szCs w:val="18"/>
              </w:rPr>
            </w:pPr>
            <w:r>
              <w:rPr>
                <w:sz w:val="18"/>
                <w:szCs w:val="18"/>
              </w:rPr>
              <w:t>总计</w:t>
            </w:r>
          </w:p>
        </w:tc>
        <w:tc>
          <w:tcPr>
            <w:tcW w:w="627" w:type="dxa"/>
            <w:noWrap w:val="0"/>
            <w:vAlign w:val="top"/>
          </w:tcPr>
          <w:p>
            <w:pPr>
              <w:rPr>
                <w:sz w:val="18"/>
                <w:szCs w:val="18"/>
              </w:rPr>
            </w:pPr>
            <w:r>
              <w:rPr>
                <w:sz w:val="18"/>
                <w:szCs w:val="18"/>
              </w:rPr>
              <w:t>结果维持</w:t>
            </w:r>
          </w:p>
        </w:tc>
        <w:tc>
          <w:tcPr>
            <w:tcW w:w="627" w:type="dxa"/>
            <w:noWrap w:val="0"/>
            <w:vAlign w:val="top"/>
          </w:tcPr>
          <w:p>
            <w:pPr>
              <w:rPr>
                <w:sz w:val="18"/>
                <w:szCs w:val="18"/>
              </w:rPr>
            </w:pPr>
            <w:r>
              <w:rPr>
                <w:sz w:val="18"/>
                <w:szCs w:val="18"/>
              </w:rPr>
              <w:t>结果纠正</w:t>
            </w:r>
          </w:p>
        </w:tc>
        <w:tc>
          <w:tcPr>
            <w:tcW w:w="628" w:type="dxa"/>
            <w:noWrap w:val="0"/>
            <w:vAlign w:val="top"/>
          </w:tcPr>
          <w:p>
            <w:pPr>
              <w:rPr>
                <w:sz w:val="18"/>
                <w:szCs w:val="18"/>
              </w:rPr>
            </w:pPr>
            <w:r>
              <w:rPr>
                <w:sz w:val="18"/>
                <w:szCs w:val="18"/>
              </w:rPr>
              <w:t>其他结果</w:t>
            </w:r>
          </w:p>
        </w:tc>
        <w:tc>
          <w:tcPr>
            <w:tcW w:w="628" w:type="dxa"/>
            <w:noWrap w:val="0"/>
            <w:vAlign w:val="top"/>
          </w:tcPr>
          <w:p>
            <w:pPr>
              <w:rPr>
                <w:sz w:val="18"/>
                <w:szCs w:val="18"/>
              </w:rPr>
            </w:pPr>
            <w:r>
              <w:rPr>
                <w:sz w:val="18"/>
                <w:szCs w:val="18"/>
              </w:rPr>
              <w:t>尚未审结</w:t>
            </w:r>
          </w:p>
        </w:tc>
        <w:tc>
          <w:tcPr>
            <w:tcW w:w="474" w:type="dxa"/>
            <w:noWrap w:val="0"/>
            <w:vAlign w:val="top"/>
          </w:tcPr>
          <w:p>
            <w:pPr>
              <w:rPr>
                <w:sz w:val="18"/>
                <w:szCs w:val="18"/>
              </w:rPr>
            </w:pPr>
            <w:r>
              <w:rPr>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473"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473"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7"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8"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628"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c>
          <w:tcPr>
            <w:tcW w:w="474" w:type="dxa"/>
            <w:noWrap w:val="0"/>
            <w:vAlign w:val="top"/>
          </w:tcPr>
          <w:p>
            <w:pPr>
              <w:jc w:val="center"/>
              <w:rPr>
                <w:rFonts w:hint="eastAsia" w:eastAsiaTheme="minorEastAsia"/>
                <w:sz w:val="18"/>
                <w:szCs w:val="18"/>
                <w:lang w:val="en-US" w:eastAsia="zh-CN"/>
              </w:rPr>
            </w:pPr>
            <w:r>
              <w:rPr>
                <w:rFonts w:hint="eastAsia"/>
                <w:sz w:val="18"/>
                <w:szCs w:val="18"/>
                <w:lang w:val="en-US" w:eastAsia="zh-CN"/>
              </w:rPr>
              <w:t>0</w:t>
            </w:r>
          </w:p>
        </w:tc>
      </w:tr>
    </w:tbl>
    <w:p>
      <w:pPr>
        <w:ind w:firstLine="482" w:firstLineChars="200"/>
        <w:rPr>
          <w:rFonts w:hint="eastAsia" w:ascii="宋体" w:hAnsi="宋体" w:eastAsia="宋体" w:cs="宋体"/>
          <w:b/>
          <w:bCs/>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lang w:val="en-US" w:eastAsia="zh-CN"/>
        </w:rPr>
      </w:pPr>
      <w:r>
        <w:rPr>
          <w:rFonts w:hint="eastAsia"/>
          <w:lang w:val="en-US" w:eastAsia="zh-CN"/>
        </w:rPr>
        <w:t>（一）主要问题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lang w:val="en-US" w:eastAsia="zh-CN"/>
        </w:rPr>
      </w:pPr>
      <w:r>
        <w:rPr>
          <w:rFonts w:hint="eastAsia"/>
          <w:lang w:val="en-US" w:eastAsia="zh-CN"/>
        </w:rPr>
        <w:t>一是对会议公开、决策执行进度、重大决策部署贯彻落实结果等相关内容的公开尚需加强。二是政策解读发布内容不够详细，发布信息属性分类不够细化，政策与政策解读之间关联性较差。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lang w:val="en-US" w:eastAsia="zh-CN"/>
        </w:rPr>
      </w:pPr>
      <w:r>
        <w:rPr>
          <w:rFonts w:hint="eastAsia"/>
          <w:lang w:val="en-US" w:eastAsia="zh-CN"/>
        </w:rPr>
        <w:t>（二）改进情况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both"/>
        <w:textAlignment w:val="auto"/>
        <w:rPr>
          <w:rFonts w:hint="default"/>
          <w:lang w:val="en-US" w:eastAsia="zh-CN"/>
        </w:rPr>
      </w:pPr>
      <w:r>
        <w:rPr>
          <w:rFonts w:hint="eastAsia"/>
          <w:lang w:val="en-US" w:eastAsia="zh-CN"/>
        </w:rPr>
        <w:t>加大信息公开量，提高信息更新率。加强会议公开、决策执行进度、重大决策部署贯彻落实结果工作落实情况。同时在制定发布政策的同时，关注解读环节，解读内容要平民化，易于理解，及时在网站公布。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ind w:firstLine="0" w:firstLineChars="0"/>
        <w:textAlignment w:val="auto"/>
        <w:rPr>
          <w:rFonts w:hint="eastAsia" w:ascii="宋体" w:hAnsi="宋体" w:eastAsia="宋体" w:cs="宋体"/>
          <w:b/>
          <w:bCs/>
          <w:color w:val="333333"/>
          <w:kern w:val="0"/>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lang w:val="en-US" w:eastAsia="zh-CN"/>
        </w:rPr>
      </w:pPr>
      <w:r>
        <w:rPr>
          <w:rFonts w:hint="eastAsia"/>
          <w:lang w:val="en-US" w:eastAsia="zh-CN"/>
        </w:rPr>
        <w:t>无</w:t>
      </w:r>
    </w:p>
    <w:p>
      <w:pPr>
        <w:widowControl/>
        <w:shd w:val="clear" w:color="auto" w:fill="auto"/>
        <w:jc w:val="left"/>
      </w:pPr>
    </w:p>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both"/>
        <w:textAlignment w:val="auto"/>
        <w:rPr>
          <w:rFonts w:hint="eastAsia"/>
          <w:lang w:val="en-US" w:eastAsia="zh-CN"/>
        </w:rPr>
      </w:pPr>
    </w:p>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C47CA"/>
    <w:rsid w:val="145C47CA"/>
    <w:rsid w:val="18DB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2023-01-13T07:17:00Z</dcterms:created>
  <dc:creator>WPS_1645582653</dc:creator>
  <cp:lastModifiedBy>WPS_1645582653</cp:lastModifiedBy>
  <dcterms:modified xsi:type="dcterms:W3CDTF">2023-01-28T03:19:05Z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