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梅河口市人民政府</w:t>
      </w:r>
    </w:p>
    <w:p>
      <w:pPr>
        <w:pStyle w:val="2"/>
        <w:keepNext w:val="0"/>
        <w:keepLines w:val="0"/>
        <w:pageBreakBefore w:val="0"/>
        <w:widowControl/>
        <w:kinsoku/>
        <w:wordWrap/>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关于授权市财政局对梅河口开源控股（集团）有限公司等企业履行出资人职责的通知</w:t>
      </w:r>
    </w:p>
    <w:p>
      <w:pPr>
        <w:pStyle w:val="2"/>
        <w:keepNext w:val="0"/>
        <w:keepLines w:val="0"/>
        <w:pageBreakBefore w:val="0"/>
        <w:widowControl/>
        <w:kinsoku/>
        <w:wordWrap/>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_GBK" w:hAnsi="方正小标宋_GBK" w:eastAsia="方正小标宋_GBK" w:cs="方正小标宋_GBK"/>
          <w:color w:val="000000"/>
          <w:kern w:val="0"/>
          <w:sz w:val="44"/>
          <w:szCs w:val="44"/>
          <w:lang w:eastAsia="zh-CN" w:bidi="ar"/>
        </w:rPr>
      </w:pPr>
      <w:r>
        <w:rPr>
          <w:rFonts w:hint="eastAsia" w:ascii="方正小标宋_GBK" w:hAnsi="方正小标宋_GBK" w:eastAsia="方正小标宋_GBK" w:cs="方正小标宋_GBK"/>
          <w:color w:val="000000"/>
          <w:kern w:val="0"/>
          <w:sz w:val="44"/>
          <w:szCs w:val="44"/>
          <w:lang w:eastAsia="zh-CN" w:bidi="ar"/>
        </w:rPr>
        <w:t>（征求意见稿）</w:t>
      </w:r>
    </w:p>
    <w:p>
      <w:pPr>
        <w:keepNext w:val="0"/>
        <w:keepLines w:val="0"/>
        <w:pageBreakBefore w:val="0"/>
        <w:kinsoku/>
        <w:wordWrap/>
        <w:topLinePunct w:val="0"/>
        <w:autoSpaceDE/>
        <w:autoSpaceDN/>
        <w:bidi w:val="0"/>
        <w:adjustRightInd/>
        <w:snapToGrid/>
        <w:spacing w:line="600" w:lineRule="exact"/>
        <w:ind w:firstLine="640" w:firstLineChars="200"/>
        <w:jc w:val="center"/>
        <w:textAlignment w:val="auto"/>
        <w:rPr>
          <w:sz w:val="32"/>
          <w:szCs w:val="32"/>
        </w:rPr>
      </w:pPr>
    </w:p>
    <w:p>
      <w:pPr>
        <w:keepNext w:val="0"/>
        <w:keepLines w:val="0"/>
        <w:pageBreakBefore w:val="0"/>
        <w:kinsoku/>
        <w:wordWrap/>
        <w:overflowPunct w:val="0"/>
        <w:topLinePunct w:val="0"/>
        <w:autoSpaceDE/>
        <w:autoSpaceDN/>
        <w:bidi w:val="0"/>
        <w:adjustRightInd/>
        <w:snapToGrid/>
        <w:spacing w:line="600" w:lineRule="exac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bidi="ar"/>
        </w:rPr>
        <w:t>市政府各有关</w:t>
      </w:r>
      <w:r>
        <w:rPr>
          <w:rFonts w:hint="eastAsia" w:ascii="仿宋" w:hAnsi="仿宋" w:eastAsia="仿宋" w:cs="仿宋"/>
          <w:b w:val="0"/>
          <w:bCs w:val="0"/>
          <w:color w:val="000000"/>
          <w:kern w:val="0"/>
          <w:sz w:val="32"/>
          <w:szCs w:val="32"/>
          <w:lang w:eastAsia="zh-CN" w:bidi="ar"/>
        </w:rPr>
        <w:t>办局、直属企事业单位</w:t>
      </w:r>
      <w:r>
        <w:rPr>
          <w:rFonts w:hint="eastAsia" w:ascii="仿宋" w:hAnsi="仿宋" w:eastAsia="仿宋" w:cs="仿宋"/>
          <w:b w:val="0"/>
          <w:bCs w:val="0"/>
          <w:color w:val="000000"/>
          <w:kern w:val="0"/>
          <w:sz w:val="32"/>
          <w:szCs w:val="32"/>
          <w:lang w:bidi="ar"/>
        </w:rPr>
        <w:t>：</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为进一步深化国企国资改革，实现政企、政资分开，推进市属经营性国有资产统一监管，依据&lt;中共吉林省办公厅吉林省人民政府办公厅印发《关于进一步推进省直党政机关和事业单位经营性国有资产集中统一监管的实施意见》的通知（吉办发﹝2019﹞22号）&gt;的文件精神，经</w:t>
      </w:r>
      <w:r>
        <w:rPr>
          <w:rFonts w:hint="eastAsia" w:ascii="仿宋" w:hAnsi="仿宋" w:eastAsia="仿宋" w:cs="仿宋"/>
          <w:color w:val="000000"/>
          <w:kern w:val="0"/>
          <w:sz w:val="32"/>
          <w:szCs w:val="32"/>
          <w:lang w:eastAsia="zh-CN" w:bidi="ar"/>
        </w:rPr>
        <w:t>市政府</w:t>
      </w:r>
      <w:r>
        <w:rPr>
          <w:rFonts w:hint="eastAsia" w:ascii="仿宋" w:hAnsi="仿宋" w:eastAsia="仿宋" w:cs="仿宋"/>
          <w:color w:val="000000"/>
          <w:kern w:val="0"/>
          <w:sz w:val="32"/>
          <w:szCs w:val="32"/>
          <w:lang w:bidi="ar"/>
        </w:rPr>
        <w:t>研究决定，授权市财政局对</w:t>
      </w:r>
      <w:r>
        <w:rPr>
          <w:rFonts w:hint="eastAsia" w:ascii="仿宋" w:hAnsi="仿宋" w:eastAsia="仿宋" w:cs="仿宋"/>
          <w:sz w:val="32"/>
          <w:szCs w:val="32"/>
        </w:rPr>
        <w:t>梅河口开源控股（集团）有限公司等</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rPr>
        <w:t>户企业（详见附表）履行出资人职责。市政府</w:t>
      </w:r>
      <w:r>
        <w:rPr>
          <w:rFonts w:hint="eastAsia" w:ascii="仿宋" w:hAnsi="仿宋" w:eastAsia="仿宋" w:cs="仿宋"/>
          <w:sz w:val="32"/>
          <w:szCs w:val="32"/>
          <w:lang w:eastAsia="zh-CN"/>
        </w:rPr>
        <w:t>各</w:t>
      </w:r>
      <w:r>
        <w:rPr>
          <w:rFonts w:hint="eastAsia" w:ascii="仿宋" w:hAnsi="仿宋" w:eastAsia="仿宋" w:cs="仿宋"/>
          <w:sz w:val="32"/>
          <w:szCs w:val="32"/>
        </w:rPr>
        <w:t>有关部门要按照</w:t>
      </w:r>
      <w:r>
        <w:rPr>
          <w:rFonts w:hint="eastAsia" w:ascii="仿宋" w:hAnsi="仿宋" w:eastAsia="仿宋" w:cs="仿宋"/>
          <w:color w:val="000000"/>
          <w:kern w:val="0"/>
          <w:sz w:val="32"/>
          <w:szCs w:val="32"/>
          <w:lang w:bidi="ar"/>
        </w:rPr>
        <w:t>《中华人民共和国公司法》《中华人民共和国企业国有资产法》《企业国有资产监督管理暂行条例》等法律法规尽快理顺股权（产权）划转、授权监管、管理权移交等手续。</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b w:val="0"/>
          <w:bCs w:val="0"/>
          <w:color w:val="000000"/>
          <w:kern w:val="0"/>
          <w:sz w:val="32"/>
          <w:szCs w:val="32"/>
          <w:lang w:bidi="ar"/>
        </w:rPr>
        <w:t>附件</w:t>
      </w:r>
      <w:r>
        <w:rPr>
          <w:rFonts w:hint="eastAsia" w:ascii="仿宋" w:hAnsi="仿宋" w:eastAsia="仿宋" w:cs="仿宋"/>
          <w:color w:val="000000"/>
          <w:kern w:val="0"/>
          <w:sz w:val="32"/>
          <w:szCs w:val="32"/>
          <w:lang w:bidi="ar"/>
        </w:rPr>
        <w:t>：1.市财政局监管市属国有企业名单</w:t>
      </w:r>
    </w:p>
    <w:p>
      <w:pPr>
        <w:keepNext w:val="0"/>
        <w:keepLines w:val="0"/>
        <w:pageBreakBefore w:val="0"/>
        <w:kinsoku/>
        <w:wordWrap/>
        <w:overflowPunct w:val="0"/>
        <w:topLinePunct w:val="0"/>
        <w:autoSpaceDE/>
        <w:autoSpaceDN/>
        <w:bidi w:val="0"/>
        <w:adjustRightInd/>
        <w:snapToGrid/>
        <w:spacing w:line="600" w:lineRule="exact"/>
        <w:ind w:left="0" w:leftChars="0" w:firstLine="1600" w:firstLineChars="5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2.市财政局拟进行集中统一监管国有企业名单（公司制企业）</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textAlignment w:val="auto"/>
        <w:rPr>
          <w:rFonts w:hint="eastAsia" w:ascii="黑体" w:hAnsi="黑体" w:eastAsia="黑体" w:cs="黑体"/>
          <w:b w:val="0"/>
          <w:bCs w:val="0"/>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textAlignment w:val="auto"/>
        <w:rPr>
          <w:rFonts w:hint="eastAsia" w:ascii="黑体" w:hAnsi="黑体" w:eastAsia="黑体" w:cs="黑体"/>
          <w:b w:val="0"/>
          <w:bCs w:val="0"/>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textAlignment w:val="auto"/>
        <w:rPr>
          <w:rFonts w:hint="eastAsia" w:ascii="黑体" w:hAnsi="黑体" w:eastAsia="黑体" w:cs="黑体"/>
          <w:b w:val="0"/>
          <w:bCs w:val="0"/>
          <w:color w:val="000000"/>
          <w:kern w:val="0"/>
          <w:sz w:val="32"/>
          <w:szCs w:val="32"/>
          <w:lang w:bidi="ar"/>
        </w:rPr>
      </w:pPr>
      <w:bookmarkStart w:id="0" w:name="_GoBack"/>
      <w:bookmarkEnd w:id="0"/>
    </w:p>
    <w:p>
      <w:pPr>
        <w:keepNext w:val="0"/>
        <w:keepLines w:val="0"/>
        <w:pageBreakBefore w:val="0"/>
        <w:kinsoku/>
        <w:wordWrap/>
        <w:overflowPunct w:val="0"/>
        <w:topLinePunct w:val="0"/>
        <w:autoSpaceDE/>
        <w:autoSpaceDN/>
        <w:bidi w:val="0"/>
        <w:adjustRightInd/>
        <w:snapToGrid/>
        <w:spacing w:line="600" w:lineRule="exact"/>
        <w:textAlignment w:val="auto"/>
        <w:rPr>
          <w:rFonts w:hint="eastAsia" w:ascii="黑体" w:hAnsi="黑体" w:eastAsia="黑体" w:cs="黑体"/>
          <w:b w:val="0"/>
          <w:bCs w:val="0"/>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textAlignment w:val="auto"/>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附件1</w:t>
      </w:r>
    </w:p>
    <w:p>
      <w:pPr>
        <w:keepNext w:val="0"/>
        <w:keepLines w:val="0"/>
        <w:pageBreakBefore w:val="0"/>
        <w:kinsoku/>
        <w:wordWrap/>
        <w:overflowPunct w:val="0"/>
        <w:topLinePunct w:val="0"/>
        <w:autoSpaceDE/>
        <w:autoSpaceDN/>
        <w:bidi w:val="0"/>
        <w:adjustRightInd/>
        <w:snapToGrid/>
        <w:spacing w:line="600" w:lineRule="exact"/>
        <w:ind w:left="0" w:leftChars="0" w:firstLine="0" w:firstLineChars="0"/>
        <w:jc w:val="center"/>
        <w:textAlignment w:val="auto"/>
        <w:rPr>
          <w:rFonts w:hint="eastAsia" w:asciiTheme="majorEastAsia" w:hAnsiTheme="majorEastAsia" w:eastAsiaTheme="majorEastAsia" w:cstheme="majorEastAsia"/>
          <w:b/>
          <w:bCs/>
          <w:color w:val="000000"/>
          <w:kern w:val="0"/>
          <w:sz w:val="44"/>
          <w:szCs w:val="44"/>
          <w:lang w:bidi="ar"/>
        </w:rPr>
      </w:pPr>
      <w:r>
        <w:rPr>
          <w:rFonts w:hint="eastAsia" w:asciiTheme="majorEastAsia" w:hAnsiTheme="majorEastAsia" w:eastAsiaTheme="majorEastAsia" w:cstheme="majorEastAsia"/>
          <w:b/>
          <w:bCs/>
          <w:color w:val="000000"/>
          <w:kern w:val="0"/>
          <w:sz w:val="44"/>
          <w:szCs w:val="44"/>
          <w:lang w:bidi="ar"/>
        </w:rPr>
        <w:t>市财政局监管市属国有企业名单（1</w:t>
      </w:r>
      <w:r>
        <w:rPr>
          <w:rFonts w:hint="eastAsia" w:asciiTheme="majorEastAsia" w:hAnsiTheme="majorEastAsia" w:eastAsiaTheme="majorEastAsia" w:cstheme="majorEastAsia"/>
          <w:b/>
          <w:bCs/>
          <w:color w:val="000000"/>
          <w:kern w:val="0"/>
          <w:sz w:val="44"/>
          <w:szCs w:val="44"/>
          <w:lang w:val="en-US" w:eastAsia="zh-CN" w:bidi="ar"/>
        </w:rPr>
        <w:t>2</w:t>
      </w:r>
      <w:r>
        <w:rPr>
          <w:rFonts w:hint="eastAsia" w:asciiTheme="majorEastAsia" w:hAnsiTheme="majorEastAsia" w:eastAsiaTheme="majorEastAsia" w:cstheme="majorEastAsia"/>
          <w:b/>
          <w:bCs/>
          <w:color w:val="000000"/>
          <w:kern w:val="0"/>
          <w:sz w:val="44"/>
          <w:szCs w:val="44"/>
          <w:lang w:bidi="ar"/>
        </w:rPr>
        <w:t>户）</w:t>
      </w:r>
    </w:p>
    <w:p>
      <w:pPr>
        <w:keepNext w:val="0"/>
        <w:keepLines w:val="0"/>
        <w:pageBreakBefore w:val="0"/>
        <w:kinsoku/>
        <w:wordWrap/>
        <w:overflowPunct w:val="0"/>
        <w:topLinePunct w:val="0"/>
        <w:autoSpaceDE/>
        <w:autoSpaceDN/>
        <w:bidi w:val="0"/>
        <w:adjustRightInd/>
        <w:snapToGrid/>
        <w:spacing w:line="600" w:lineRule="exact"/>
        <w:ind w:left="0" w:leftChars="0" w:firstLine="0" w:firstLineChars="0"/>
        <w:jc w:val="center"/>
        <w:textAlignment w:val="auto"/>
        <w:rPr>
          <w:rFonts w:hint="eastAsia" w:asciiTheme="majorEastAsia" w:hAnsiTheme="majorEastAsia" w:eastAsiaTheme="majorEastAsia" w:cstheme="majorEastAsia"/>
          <w:b/>
          <w:bCs/>
          <w:color w:val="000000"/>
          <w:kern w:val="0"/>
          <w:sz w:val="44"/>
          <w:szCs w:val="44"/>
          <w:lang w:bidi="ar"/>
        </w:rPr>
      </w:pP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梅河口开源控股（集团）有限公司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梅河口市丰源优品米业集团有限公司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梅河口市城源城市管理运营集团有限公司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梅河口东北旅游发展集团有限公司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梅河口市新发展餐饮集团有限公司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梅河口未来教育集团有限责任公司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梅河口水务</w:t>
      </w:r>
      <w:r>
        <w:rPr>
          <w:rFonts w:hint="eastAsia" w:ascii="仿宋" w:hAnsi="仿宋" w:eastAsia="仿宋" w:cs="仿宋"/>
          <w:color w:val="000000"/>
          <w:kern w:val="0"/>
          <w:sz w:val="32"/>
          <w:szCs w:val="32"/>
          <w:lang w:eastAsia="zh-CN" w:bidi="ar"/>
        </w:rPr>
        <w:t>集团</w:t>
      </w:r>
      <w:r>
        <w:rPr>
          <w:rFonts w:hint="eastAsia" w:ascii="仿宋" w:hAnsi="仿宋" w:eastAsia="仿宋" w:cs="仿宋"/>
          <w:color w:val="000000"/>
          <w:kern w:val="0"/>
          <w:sz w:val="32"/>
          <w:szCs w:val="32"/>
          <w:lang w:bidi="ar"/>
        </w:rPr>
        <w:t>有限公司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eastAsia="zh-CN" w:bidi="ar"/>
        </w:rPr>
      </w:pPr>
      <w:r>
        <w:rPr>
          <w:rFonts w:hint="eastAsia" w:ascii="仿宋" w:hAnsi="仿宋" w:eastAsia="仿宋" w:cs="仿宋"/>
          <w:color w:val="000000"/>
          <w:kern w:val="0"/>
          <w:sz w:val="32"/>
          <w:szCs w:val="32"/>
          <w:lang w:eastAsia="zh-CN" w:bidi="ar"/>
        </w:rPr>
        <w:t>梅河口广源投资有限公司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梅河口市国有资产经营有限公司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梅河口市聚源投资有限责任公司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梅河口市财源投资有限责任公司</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梅河口市创源投资有限责任公司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 w:eastAsia="仿宋_GB2312" w:cs="仿宋_GB2312"/>
          <w:color w:val="000000"/>
          <w:kern w:val="0"/>
          <w:sz w:val="32"/>
          <w:szCs w:val="32"/>
          <w:lang w:bidi="ar"/>
        </w:rPr>
      </w:pPr>
    </w:p>
    <w:p>
      <w:pPr>
        <w:keepNext w:val="0"/>
        <w:keepLines w:val="0"/>
        <w:pageBreakBefore w:val="0"/>
        <w:kinsoku/>
        <w:wordWrap/>
        <w:overflowPunct w:val="0"/>
        <w:topLinePunct w:val="0"/>
        <w:autoSpaceDE/>
        <w:autoSpaceDN/>
        <w:bidi w:val="0"/>
        <w:adjustRightInd/>
        <w:snapToGrid/>
        <w:spacing w:line="600" w:lineRule="exac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附件2</w:t>
      </w:r>
    </w:p>
    <w:p>
      <w:pPr>
        <w:keepNext w:val="0"/>
        <w:keepLines w:val="0"/>
        <w:pageBreakBefore w:val="0"/>
        <w:kinsoku/>
        <w:wordWrap/>
        <w:overflowPunct w:val="0"/>
        <w:topLinePunct w:val="0"/>
        <w:autoSpaceDE/>
        <w:autoSpaceDN/>
        <w:bidi w:val="0"/>
        <w:adjustRightInd/>
        <w:snapToGrid/>
        <w:spacing w:line="600" w:lineRule="exact"/>
        <w:ind w:left="0" w:leftChars="0" w:firstLine="0" w:firstLineChars="0"/>
        <w:jc w:val="center"/>
        <w:textAlignment w:val="auto"/>
        <w:rPr>
          <w:rFonts w:hint="eastAsia" w:asciiTheme="majorEastAsia" w:hAnsiTheme="majorEastAsia" w:eastAsiaTheme="majorEastAsia" w:cstheme="majorEastAsia"/>
          <w:b/>
          <w:bCs/>
          <w:color w:val="000000"/>
          <w:kern w:val="0"/>
          <w:sz w:val="44"/>
          <w:szCs w:val="44"/>
          <w:lang w:bidi="ar"/>
        </w:rPr>
      </w:pPr>
      <w:r>
        <w:rPr>
          <w:rFonts w:hint="eastAsia" w:asciiTheme="majorEastAsia" w:hAnsiTheme="majorEastAsia" w:eastAsiaTheme="majorEastAsia" w:cstheme="majorEastAsia"/>
          <w:b/>
          <w:bCs/>
          <w:color w:val="000000"/>
          <w:kern w:val="0"/>
          <w:sz w:val="44"/>
          <w:szCs w:val="44"/>
          <w:lang w:bidi="ar"/>
        </w:rPr>
        <w:t>市财政局拟进行集中统一监管</w:t>
      </w:r>
      <w:r>
        <w:rPr>
          <w:rFonts w:hint="eastAsia" w:asciiTheme="majorEastAsia" w:hAnsiTheme="majorEastAsia" w:eastAsiaTheme="majorEastAsia" w:cstheme="majorEastAsia"/>
          <w:b/>
          <w:bCs/>
          <w:color w:val="000000"/>
          <w:kern w:val="0"/>
          <w:sz w:val="44"/>
          <w:szCs w:val="44"/>
          <w:lang w:eastAsia="zh-CN" w:bidi="ar"/>
        </w:rPr>
        <w:t>国有</w:t>
      </w:r>
      <w:r>
        <w:rPr>
          <w:rFonts w:hint="eastAsia" w:asciiTheme="majorEastAsia" w:hAnsiTheme="majorEastAsia" w:eastAsiaTheme="majorEastAsia" w:cstheme="majorEastAsia"/>
          <w:b/>
          <w:bCs/>
          <w:color w:val="000000"/>
          <w:kern w:val="0"/>
          <w:sz w:val="44"/>
          <w:szCs w:val="44"/>
          <w:lang w:bidi="ar"/>
        </w:rPr>
        <w:t>企业名单</w:t>
      </w:r>
    </w:p>
    <w:p>
      <w:pPr>
        <w:keepNext w:val="0"/>
        <w:keepLines w:val="0"/>
        <w:pageBreakBefore w:val="0"/>
        <w:kinsoku/>
        <w:wordWrap/>
        <w:overflowPunct w:val="0"/>
        <w:topLinePunct w:val="0"/>
        <w:autoSpaceDE/>
        <w:autoSpaceDN/>
        <w:bidi w:val="0"/>
        <w:adjustRightInd/>
        <w:snapToGrid/>
        <w:spacing w:line="600" w:lineRule="exact"/>
        <w:ind w:left="0" w:leftChars="0" w:firstLine="0" w:firstLineChars="0"/>
        <w:jc w:val="center"/>
        <w:textAlignment w:val="auto"/>
        <w:rPr>
          <w:rFonts w:ascii="仿宋_GB2312" w:hAnsi="仿宋" w:eastAsia="仿宋_GB2312" w:cs="仿宋_GB2312"/>
          <w:b/>
          <w:bCs/>
          <w:color w:val="000000"/>
          <w:kern w:val="0"/>
          <w:sz w:val="32"/>
          <w:szCs w:val="32"/>
          <w:lang w:bidi="ar"/>
        </w:rPr>
      </w:pPr>
      <w:r>
        <w:rPr>
          <w:rFonts w:hint="eastAsia" w:asciiTheme="majorEastAsia" w:hAnsiTheme="majorEastAsia" w:eastAsiaTheme="majorEastAsia" w:cstheme="majorEastAsia"/>
          <w:b/>
          <w:bCs/>
          <w:color w:val="000000"/>
          <w:kern w:val="0"/>
          <w:sz w:val="44"/>
          <w:szCs w:val="44"/>
          <w:lang w:bidi="ar"/>
        </w:rPr>
        <w:t>（公司制</w:t>
      </w:r>
      <w:r>
        <w:rPr>
          <w:rFonts w:hint="eastAsia" w:asciiTheme="majorEastAsia" w:hAnsiTheme="majorEastAsia" w:eastAsiaTheme="majorEastAsia" w:cstheme="majorEastAsia"/>
          <w:b/>
          <w:bCs/>
          <w:color w:val="000000"/>
          <w:kern w:val="0"/>
          <w:sz w:val="44"/>
          <w:szCs w:val="44"/>
          <w:lang w:eastAsia="zh-CN" w:bidi="ar"/>
        </w:rPr>
        <w:t>企业</w:t>
      </w:r>
      <w:r>
        <w:rPr>
          <w:rFonts w:hint="eastAsia" w:asciiTheme="majorEastAsia" w:hAnsiTheme="majorEastAsia" w:eastAsiaTheme="majorEastAsia" w:cstheme="majorEastAsia"/>
          <w:b/>
          <w:bCs/>
          <w:color w:val="000000"/>
          <w:kern w:val="0"/>
          <w:sz w:val="44"/>
          <w:szCs w:val="44"/>
          <w:lang w:bidi="ar"/>
        </w:rPr>
        <w:t>14户）</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梅河口市庆源城乡管理运营有限公司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梅河口市臻成贸易服务有限公司 </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梅河口市爨街餐饮管理有限公司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梅河口市军民粮油有限公司 </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梅河口市海纳国有粮食资产管理经营有限责任公司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梅河口市吉兴房地产开发有限公司  </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梅河口市盛源自来水有限公司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梅河口市河东城镇化置业有限公司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梅河口市开发建设有限公司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吉林梅河国际会议会展中心有限公司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梅河口市大河之声文化传媒有限责任公司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梅河口市汇康体育场馆经营管理有限公司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梅河口市天宇文化传媒演艺有限责任公司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梅河口农源农业投资发展有限公司</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 </w:t>
      </w:r>
    </w:p>
    <w:p>
      <w:pPr>
        <w:ind w:firstLine="600"/>
        <w:jc w:val="left"/>
        <w:rPr>
          <w:rFonts w:hint="eastAsia"/>
          <w:sz w:val="30"/>
          <w:szCs w:val="30"/>
          <w:highlight w:val="none"/>
        </w:rPr>
      </w:pPr>
    </w:p>
    <w:p/>
    <w:sectPr>
      <w:footerReference r:id="rId3" w:type="default"/>
      <w:pgSz w:w="11906" w:h="16838"/>
      <w:pgMar w:top="1701"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3F6D05-543A-4DDC-B1D9-D6FAACAFA9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9D0CECF-8D19-41FA-B134-65AA30C94F43}"/>
  </w:font>
  <w:font w:name="方正小标宋_GBK">
    <w:panose1 w:val="02000000000000000000"/>
    <w:charset w:val="86"/>
    <w:family w:val="auto"/>
    <w:pitch w:val="default"/>
    <w:sig w:usb0="00000001" w:usb1="080E0000" w:usb2="00000000" w:usb3="00000000" w:csb0="00040000" w:csb1="00000000"/>
    <w:embedRegular r:id="rId3" w:fontKey="{03144071-6C32-4015-AAD3-F4210C2B4054}"/>
  </w:font>
  <w:font w:name="仿宋">
    <w:panose1 w:val="02010609060101010101"/>
    <w:charset w:val="86"/>
    <w:family w:val="auto"/>
    <w:pitch w:val="default"/>
    <w:sig w:usb0="800002BF" w:usb1="38CF7CFA" w:usb2="00000016" w:usb3="00000000" w:csb0="00040001" w:csb1="00000000"/>
    <w:embedRegular r:id="rId4" w:fontKey="{F119FBC9-FBCF-46E5-A556-344AEF21A2E3}"/>
  </w:font>
  <w:font w:name="仿宋_GB2312">
    <w:panose1 w:val="02010609030101010101"/>
    <w:charset w:val="86"/>
    <w:family w:val="auto"/>
    <w:pitch w:val="default"/>
    <w:sig w:usb0="00000001" w:usb1="080E0000" w:usb2="00000000" w:usb3="00000000" w:csb0="00040000" w:csb1="00000000"/>
    <w:embedRegular r:id="rId5" w:fontKey="{8F1C88B3-F09B-4FAA-A5DC-46E077EAD0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253B1"/>
    <w:rsid w:val="01E253B1"/>
    <w:rsid w:val="4886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2021-09-10T00:58:00Z</dcterms:created>
  <dc:creator>热爱学习的小呦呦 </dc:creator>
  <cp:lastModifiedBy>热爱学习的小呦呦 </cp:lastModifiedBy>
  <dcterms:modified xsi:type="dcterms:W3CDTF">2021-09-10T01:00:35Z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BD6A564051E342AA9E0C5F034EDBC3DB</vt:lpwstr>
  </property>
</Properties>
</file>